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topLinePunct/>
        <w:spacing w:beforeLines="0" w:afterLines="0" w:line="500" w:lineRule="exact"/>
        <w:rPr>
          <w:rFonts w:ascii="Times New Roman" w:hAnsi="Times New Roman"/>
        </w:rPr>
      </w:pPr>
    </w:p>
    <w:p>
      <w:pPr>
        <w:pStyle w:val="36"/>
        <w:topLinePunct/>
        <w:spacing w:beforeLines="0" w:afterLines="0" w:line="500" w:lineRule="exact"/>
        <w:rPr>
          <w:rFonts w:ascii="Times New Roman" w:hAnsi="Times New Roman"/>
        </w:rPr>
      </w:pPr>
    </w:p>
    <w:p>
      <w:pPr>
        <w:pStyle w:val="36"/>
        <w:topLinePunct/>
        <w:spacing w:beforeLines="0" w:afterLines="0" w:line="500" w:lineRule="exact"/>
        <w:rPr>
          <w:rFonts w:ascii="Times New Roman" w:hAnsi="Times New Roman"/>
        </w:rPr>
      </w:pPr>
    </w:p>
    <w:p>
      <w:pPr>
        <w:pStyle w:val="36"/>
        <w:topLinePunct/>
        <w:spacing w:beforeLines="0" w:afterLines="0" w:line="500" w:lineRule="exact"/>
        <w:rPr>
          <w:rFonts w:ascii="Times New Roman" w:hAnsi="Times New Roman"/>
        </w:rPr>
      </w:pPr>
    </w:p>
    <w:p>
      <w:pPr>
        <w:pStyle w:val="36"/>
        <w:topLinePunct/>
        <w:spacing w:beforeLines="0" w:afterLines="0" w:line="500" w:lineRule="exact"/>
        <w:rPr>
          <w:rFonts w:ascii="Times New Roman" w:hAnsi="Times New Roman"/>
        </w:rPr>
      </w:pPr>
    </w:p>
    <w:p>
      <w:pPr>
        <w:pStyle w:val="36"/>
        <w:topLinePunct/>
        <w:spacing w:beforeLines="0" w:afterLines="0" w:line="500" w:lineRule="exact"/>
        <w:rPr>
          <w:rFonts w:ascii="Times New Roman" w:hAnsi="Times New Roman"/>
        </w:rPr>
      </w:pPr>
    </w:p>
    <w:p>
      <w:pPr>
        <w:spacing w:line="500" w:lineRule="exact"/>
        <w:jc w:val="center"/>
        <w:rPr>
          <w:rFonts w:eastAsia="黑体"/>
          <w:sz w:val="44"/>
          <w:szCs w:val="44"/>
        </w:rPr>
      </w:pPr>
      <w:bookmarkStart w:id="0" w:name="OLE_LINK1"/>
      <w:bookmarkStart w:id="1" w:name="OLE_LINK2"/>
      <w:r>
        <w:rPr>
          <w:rFonts w:eastAsia="黑体"/>
          <w:sz w:val="44"/>
          <w:szCs w:val="44"/>
        </w:rPr>
        <w:t>《</w:t>
      </w:r>
      <w:r>
        <w:rPr>
          <w:rFonts w:hint="eastAsia" w:eastAsia="黑体"/>
          <w:sz w:val="44"/>
          <w:szCs w:val="44"/>
        </w:rPr>
        <w:t xml:space="preserve">绿色设计产品评价技术规范 </w:t>
      </w:r>
      <w:r>
        <w:rPr>
          <w:rFonts w:eastAsia="黑体"/>
          <w:sz w:val="44"/>
          <w:szCs w:val="44"/>
        </w:rPr>
        <w:t xml:space="preserve"> </w:t>
      </w:r>
      <w:r>
        <w:rPr>
          <w:rFonts w:hint="eastAsia" w:eastAsia="黑体"/>
          <w:sz w:val="44"/>
          <w:szCs w:val="44"/>
          <w:lang w:eastAsia="zh-CN"/>
        </w:rPr>
        <w:t>镁碳砖</w:t>
      </w:r>
      <w:r>
        <w:rPr>
          <w:rFonts w:eastAsia="黑体"/>
          <w:sz w:val="44"/>
          <w:szCs w:val="44"/>
        </w:rPr>
        <w:t>》</w:t>
      </w:r>
      <w:r>
        <w:rPr>
          <w:rFonts w:eastAsia="黑体"/>
          <w:sz w:val="44"/>
          <w:szCs w:val="44"/>
        </w:rPr>
        <w:br w:type="textWrapping"/>
      </w:r>
    </w:p>
    <w:p>
      <w:pPr>
        <w:spacing w:line="500" w:lineRule="exact"/>
        <w:jc w:val="center"/>
        <w:rPr>
          <w:rFonts w:eastAsia="黑体"/>
          <w:sz w:val="44"/>
          <w:szCs w:val="44"/>
        </w:rPr>
      </w:pPr>
      <w:r>
        <w:rPr>
          <w:rFonts w:eastAsia="黑体"/>
          <w:sz w:val="44"/>
          <w:szCs w:val="44"/>
        </w:rPr>
        <w:t>编制说明</w:t>
      </w:r>
      <w:bookmarkEnd w:id="0"/>
      <w:bookmarkEnd w:id="1"/>
    </w:p>
    <w:p>
      <w:pPr>
        <w:pStyle w:val="36"/>
        <w:topLinePunct/>
        <w:spacing w:beforeLines="0" w:afterLines="0" w:line="500" w:lineRule="exact"/>
        <w:rPr>
          <w:rFonts w:ascii="Times New Roman" w:hAnsi="Times New Roman"/>
          <w:kern w:val="10"/>
        </w:rPr>
      </w:pPr>
    </w:p>
    <w:p>
      <w:pPr>
        <w:pStyle w:val="36"/>
        <w:topLinePunct/>
        <w:spacing w:beforeLines="0" w:afterLines="0" w:line="500" w:lineRule="exact"/>
        <w:rPr>
          <w:rFonts w:ascii="Times New Roman" w:hAnsi="Times New Roman"/>
          <w:kern w:val="10"/>
        </w:rPr>
      </w:pPr>
    </w:p>
    <w:p>
      <w:pPr>
        <w:pStyle w:val="36"/>
        <w:topLinePunct/>
        <w:spacing w:beforeLines="0" w:afterLines="0" w:line="500" w:lineRule="exact"/>
        <w:rPr>
          <w:rFonts w:ascii="Times New Roman" w:hAnsi="Times New Roman"/>
          <w:kern w:val="10"/>
        </w:rPr>
      </w:pPr>
    </w:p>
    <w:p>
      <w:pPr>
        <w:pStyle w:val="36"/>
        <w:topLinePunct/>
        <w:spacing w:beforeLines="0" w:afterLines="0" w:line="500" w:lineRule="exact"/>
        <w:rPr>
          <w:rFonts w:ascii="Times New Roman" w:hAnsi="Times New Roman"/>
          <w:kern w:val="10"/>
        </w:rPr>
      </w:pPr>
    </w:p>
    <w:p>
      <w:pPr>
        <w:pStyle w:val="36"/>
        <w:topLinePunct/>
        <w:spacing w:beforeLines="0" w:afterLines="0" w:line="500" w:lineRule="exact"/>
        <w:rPr>
          <w:rFonts w:ascii="Times New Roman" w:hAnsi="Times New Roman"/>
          <w:kern w:val="10"/>
        </w:rPr>
      </w:pPr>
    </w:p>
    <w:p>
      <w:pPr>
        <w:pStyle w:val="36"/>
        <w:topLinePunct/>
        <w:spacing w:beforeLines="0" w:afterLines="0" w:line="500" w:lineRule="exact"/>
        <w:rPr>
          <w:rFonts w:ascii="Times New Roman" w:hAnsi="Times New Roman"/>
          <w:kern w:val="10"/>
        </w:rPr>
      </w:pPr>
    </w:p>
    <w:p>
      <w:pPr>
        <w:pStyle w:val="36"/>
        <w:topLinePunct/>
        <w:spacing w:beforeLines="0" w:afterLines="0" w:line="500" w:lineRule="exact"/>
        <w:rPr>
          <w:rFonts w:ascii="Times New Roman" w:hAnsi="Times New Roman"/>
          <w:kern w:val="10"/>
        </w:rPr>
      </w:pPr>
    </w:p>
    <w:p>
      <w:pPr>
        <w:pStyle w:val="36"/>
        <w:topLinePunct/>
        <w:spacing w:beforeLines="0" w:afterLines="0" w:line="500" w:lineRule="exact"/>
        <w:rPr>
          <w:rFonts w:ascii="Times New Roman" w:hAnsi="Times New Roman"/>
          <w:kern w:val="10"/>
        </w:rPr>
      </w:pPr>
    </w:p>
    <w:p>
      <w:pPr>
        <w:pStyle w:val="36"/>
        <w:topLinePunct/>
        <w:spacing w:beforeLines="0" w:afterLines="0" w:line="500" w:lineRule="exact"/>
        <w:rPr>
          <w:rFonts w:ascii="Times New Roman" w:hAnsi="Times New Roman"/>
          <w:kern w:val="10"/>
        </w:rPr>
      </w:pPr>
    </w:p>
    <w:p>
      <w:pPr>
        <w:pStyle w:val="36"/>
        <w:topLinePunct/>
        <w:spacing w:beforeLines="0" w:afterLines="0" w:line="500" w:lineRule="exact"/>
        <w:rPr>
          <w:rFonts w:ascii="Times New Roman" w:hAnsi="Times New Roman"/>
          <w:kern w:val="10"/>
        </w:rPr>
      </w:pPr>
    </w:p>
    <w:p>
      <w:pPr>
        <w:pStyle w:val="36"/>
        <w:topLinePunct/>
        <w:spacing w:beforeLines="0" w:afterLines="0" w:line="500" w:lineRule="exact"/>
        <w:rPr>
          <w:rFonts w:ascii="Times New Roman" w:hAnsi="Times New Roman"/>
          <w:kern w:val="10"/>
        </w:rPr>
      </w:pPr>
    </w:p>
    <w:p>
      <w:pPr>
        <w:pStyle w:val="36"/>
        <w:topLinePunct/>
        <w:spacing w:beforeLines="0" w:afterLines="0" w:line="500" w:lineRule="exact"/>
        <w:rPr>
          <w:rFonts w:ascii="Times New Roman" w:hAnsi="Times New Roman"/>
          <w:kern w:val="10"/>
        </w:rPr>
      </w:pPr>
    </w:p>
    <w:p>
      <w:pPr>
        <w:pStyle w:val="36"/>
        <w:topLinePunct/>
        <w:spacing w:beforeLines="0" w:afterLines="0" w:line="500" w:lineRule="exact"/>
        <w:rPr>
          <w:rFonts w:ascii="Times New Roman" w:hAnsi="Times New Roman"/>
          <w:kern w:val="10"/>
        </w:rPr>
      </w:pPr>
    </w:p>
    <w:p>
      <w:pPr>
        <w:pStyle w:val="36"/>
        <w:topLinePunct/>
        <w:spacing w:beforeLines="0" w:afterLines="0" w:line="500" w:lineRule="exact"/>
        <w:rPr>
          <w:rFonts w:ascii="Times New Roman" w:hAnsi="Times New Roman"/>
          <w:kern w:val="10"/>
        </w:rPr>
      </w:pPr>
    </w:p>
    <w:p>
      <w:pPr>
        <w:pStyle w:val="36"/>
        <w:topLinePunct/>
        <w:spacing w:beforeLines="0" w:afterLines="0" w:line="500" w:lineRule="exact"/>
        <w:rPr>
          <w:rFonts w:ascii="Times New Roman" w:hAnsi="Times New Roman"/>
          <w:kern w:val="10"/>
          <w:szCs w:val="32"/>
        </w:rPr>
      </w:pPr>
      <w:r>
        <w:rPr>
          <w:rFonts w:hint="eastAsia" w:ascii="Times New Roman" w:hAnsi="Times New Roman"/>
          <w:kern w:val="0"/>
          <w:szCs w:val="32"/>
          <w:lang w:val="en-US" w:eastAsia="zh-CN"/>
        </w:rPr>
        <w:t>标准</w:t>
      </w:r>
      <w:r>
        <w:rPr>
          <w:rFonts w:ascii="Times New Roman" w:hAnsi="Times New Roman"/>
          <w:kern w:val="0"/>
          <w:szCs w:val="32"/>
        </w:rPr>
        <w:t>编制组</w:t>
      </w:r>
    </w:p>
    <w:p>
      <w:pPr>
        <w:pStyle w:val="36"/>
        <w:topLinePunct/>
        <w:spacing w:beforeLines="0" w:afterLines="0" w:line="500" w:lineRule="exact"/>
        <w:rPr>
          <w:rFonts w:ascii="Times New Roman" w:hAnsi="Times New Roman"/>
          <w:kern w:val="10"/>
        </w:rPr>
      </w:pPr>
      <w:r>
        <w:rPr>
          <w:rFonts w:ascii="Times New Roman" w:hAnsi="Times New Roman"/>
          <w:kern w:val="0"/>
        </w:rPr>
        <w:t>202</w:t>
      </w:r>
      <w:r>
        <w:rPr>
          <w:rFonts w:hint="eastAsia" w:ascii="Times New Roman" w:hAnsi="Times New Roman"/>
          <w:kern w:val="0"/>
          <w:lang w:val="en-US" w:eastAsia="zh-CN"/>
        </w:rPr>
        <w:t>3</w:t>
      </w:r>
      <w:r>
        <w:rPr>
          <w:rFonts w:ascii="Times New Roman" w:hAnsi="Times New Roman"/>
          <w:kern w:val="0"/>
        </w:rPr>
        <w:t>年</w:t>
      </w:r>
      <w:r>
        <w:rPr>
          <w:rFonts w:hint="eastAsia" w:ascii="Times New Roman" w:hAnsi="Times New Roman"/>
          <w:kern w:val="0"/>
          <w:lang w:val="en-US" w:eastAsia="zh-CN"/>
        </w:rPr>
        <w:t>9</w:t>
      </w:r>
      <w:r>
        <w:rPr>
          <w:rFonts w:ascii="Times New Roman" w:hAnsi="Times New Roman"/>
          <w:spacing w:val="8"/>
          <w:kern w:val="0"/>
        </w:rPr>
        <w:t>月</w:t>
      </w:r>
    </w:p>
    <w:p>
      <w:pPr>
        <w:pStyle w:val="36"/>
        <w:topLinePunct/>
        <w:snapToGrid/>
        <w:spacing w:beforeLines="0" w:afterLines="0" w:line="500" w:lineRule="exact"/>
        <w:jc w:val="both"/>
        <w:rPr>
          <w:rFonts w:ascii="Times New Roman" w:hAnsi="Times New Roman"/>
          <w:kern w:val="10"/>
        </w:rPr>
        <w:sectPr>
          <w:footerReference r:id="rId3" w:type="default"/>
          <w:pgSz w:w="11906" w:h="16838"/>
          <w:pgMar w:top="1440" w:right="1800" w:bottom="1440" w:left="1800" w:header="737" w:footer="737" w:gutter="0"/>
          <w:pgNumType w:fmt="lowerRoman" w:start="1"/>
          <w:cols w:space="720" w:num="1"/>
          <w:formProt w:val="0"/>
          <w:docGrid w:type="lines" w:linePitch="312" w:charSpace="0"/>
        </w:sectPr>
      </w:pPr>
    </w:p>
    <w:sdt>
      <w:sdtPr>
        <w:rPr>
          <w:rFonts w:ascii="Times New Roman" w:hAnsi="Times New Roman" w:eastAsia="宋体" w:cs="Times New Roman"/>
          <w:color w:val="auto"/>
          <w:kern w:val="2"/>
          <w:sz w:val="21"/>
          <w:szCs w:val="24"/>
          <w:lang w:val="zh-CN"/>
        </w:rPr>
        <w:id w:val="291870202"/>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pPr>
            <w:pStyle w:val="58"/>
            <w:jc w:val="center"/>
            <w:rPr>
              <w:rFonts w:ascii="Times New Roman" w:hAnsi="Times New Roman" w:eastAsia="宋体" w:cs="Times New Roman"/>
              <w:b/>
              <w:bCs/>
              <w:color w:val="auto"/>
            </w:rPr>
          </w:pPr>
          <w:bookmarkStart w:id="2" w:name="_Toc371511493"/>
          <w:bookmarkStart w:id="3" w:name="_Toc36132040"/>
          <w:r>
            <w:rPr>
              <w:rFonts w:ascii="Times New Roman" w:hAnsi="Times New Roman" w:eastAsia="宋体" w:cs="Times New Roman"/>
              <w:b/>
              <w:bCs/>
              <w:color w:val="auto"/>
              <w:lang w:val="zh-CN"/>
            </w:rPr>
            <w:t>目录</w:t>
          </w:r>
        </w:p>
        <w:p>
          <w:pPr>
            <w:pStyle w:val="16"/>
            <w:tabs>
              <w:tab w:val="right" w:leader="dot" w:pos="8834"/>
            </w:tabs>
            <w:rPr>
              <w:rFonts w:ascii="Times New Roman" w:eastAsia="宋体"/>
              <w:b w:val="0"/>
              <w:bCs w:val="0"/>
              <w:sz w:val="21"/>
              <w:szCs w:val="22"/>
            </w:rPr>
          </w:pPr>
          <w:r>
            <w:rPr>
              <w:rFonts w:ascii="Times New Roman" w:eastAsia="宋体"/>
              <w:b w:val="0"/>
              <w:bCs w:val="0"/>
            </w:rPr>
            <w:fldChar w:fldCharType="begin"/>
          </w:r>
          <w:r>
            <w:rPr>
              <w:rFonts w:ascii="Times New Roman" w:eastAsia="宋体"/>
              <w:b w:val="0"/>
              <w:bCs w:val="0"/>
            </w:rPr>
            <w:instrText xml:space="preserve"> TOC \o "1-3" \h \z \u </w:instrText>
          </w:r>
          <w:r>
            <w:rPr>
              <w:rFonts w:ascii="Times New Roman" w:eastAsia="宋体"/>
              <w:b w:val="0"/>
              <w:bCs w:val="0"/>
            </w:rPr>
            <w:fldChar w:fldCharType="separate"/>
          </w:r>
          <w:r>
            <w:fldChar w:fldCharType="begin"/>
          </w:r>
          <w:r>
            <w:instrText xml:space="preserve"> HYPERLINK \l "_Toc66714156" </w:instrText>
          </w:r>
          <w:r>
            <w:fldChar w:fldCharType="separate"/>
          </w:r>
          <w:r>
            <w:rPr>
              <w:rStyle w:val="27"/>
              <w:rFonts w:ascii="Times New Roman" w:eastAsia="宋体"/>
              <w:b w:val="0"/>
              <w:bCs w:val="0"/>
            </w:rPr>
            <w:t>一、任务来源及编制背景</w:t>
          </w:r>
          <w:r>
            <w:rPr>
              <w:rFonts w:ascii="Times New Roman" w:eastAsia="宋体"/>
              <w:b w:val="0"/>
              <w:bCs w:val="0"/>
            </w:rPr>
            <w:tab/>
          </w:r>
          <w:r>
            <w:rPr>
              <w:rFonts w:ascii="Times New Roman" w:eastAsia="宋体"/>
              <w:b w:val="0"/>
              <w:bCs w:val="0"/>
            </w:rPr>
            <w:fldChar w:fldCharType="begin"/>
          </w:r>
          <w:r>
            <w:rPr>
              <w:rFonts w:ascii="Times New Roman" w:eastAsia="宋体"/>
              <w:b w:val="0"/>
              <w:bCs w:val="0"/>
            </w:rPr>
            <w:instrText xml:space="preserve"> PAGEREF _Toc66714156 \h </w:instrText>
          </w:r>
          <w:r>
            <w:rPr>
              <w:rFonts w:ascii="Times New Roman" w:eastAsia="宋体"/>
              <w:b w:val="0"/>
              <w:bCs w:val="0"/>
            </w:rPr>
            <w:fldChar w:fldCharType="separate"/>
          </w:r>
          <w:r>
            <w:rPr>
              <w:rFonts w:ascii="Times New Roman" w:eastAsia="宋体"/>
              <w:b w:val="0"/>
              <w:bCs w:val="0"/>
            </w:rPr>
            <w:t>1</w:t>
          </w:r>
          <w:r>
            <w:rPr>
              <w:rFonts w:ascii="Times New Roman" w:eastAsia="宋体"/>
              <w:b w:val="0"/>
              <w:bCs w:val="0"/>
            </w:rPr>
            <w:fldChar w:fldCharType="end"/>
          </w:r>
          <w:r>
            <w:rPr>
              <w:rFonts w:ascii="Times New Roman" w:eastAsia="宋体"/>
              <w:b w:val="0"/>
              <w:bCs w:val="0"/>
            </w:rPr>
            <w:fldChar w:fldCharType="end"/>
          </w:r>
        </w:p>
        <w:p>
          <w:pPr>
            <w:pStyle w:val="19"/>
            <w:tabs>
              <w:tab w:val="right" w:leader="dot" w:pos="8834"/>
            </w:tabs>
            <w:rPr>
              <w:rFonts w:ascii="Times New Roman" w:eastAsia="宋体"/>
              <w:i w:val="0"/>
              <w:iCs w:val="0"/>
              <w:sz w:val="21"/>
              <w:szCs w:val="22"/>
            </w:rPr>
          </w:pPr>
          <w:r>
            <w:fldChar w:fldCharType="begin"/>
          </w:r>
          <w:r>
            <w:instrText xml:space="preserve"> HYPERLINK \l "_Toc66714157" </w:instrText>
          </w:r>
          <w:r>
            <w:fldChar w:fldCharType="separate"/>
          </w:r>
          <w:r>
            <w:rPr>
              <w:rStyle w:val="27"/>
              <w:rFonts w:ascii="Times New Roman" w:eastAsia="宋体"/>
              <w:i w:val="0"/>
              <w:iCs w:val="0"/>
            </w:rPr>
            <w:t>1.1任务来源</w:t>
          </w:r>
          <w:r>
            <w:rPr>
              <w:rFonts w:ascii="Times New Roman" w:eastAsia="宋体"/>
              <w:i w:val="0"/>
              <w:iCs w:val="0"/>
            </w:rPr>
            <w:tab/>
          </w:r>
          <w:r>
            <w:rPr>
              <w:rFonts w:ascii="Times New Roman" w:eastAsia="宋体"/>
              <w:i w:val="0"/>
              <w:iCs w:val="0"/>
            </w:rPr>
            <w:fldChar w:fldCharType="begin"/>
          </w:r>
          <w:r>
            <w:rPr>
              <w:rFonts w:ascii="Times New Roman" w:eastAsia="宋体"/>
              <w:i w:val="0"/>
              <w:iCs w:val="0"/>
            </w:rPr>
            <w:instrText xml:space="preserve"> PAGEREF _Toc66714157 \h </w:instrText>
          </w:r>
          <w:r>
            <w:rPr>
              <w:rFonts w:ascii="Times New Roman" w:eastAsia="宋体"/>
              <w:i w:val="0"/>
              <w:iCs w:val="0"/>
            </w:rPr>
            <w:fldChar w:fldCharType="separate"/>
          </w:r>
          <w:r>
            <w:rPr>
              <w:rFonts w:ascii="Times New Roman" w:eastAsia="宋体"/>
              <w:i w:val="0"/>
              <w:iCs w:val="0"/>
            </w:rPr>
            <w:t>1</w:t>
          </w:r>
          <w:r>
            <w:rPr>
              <w:rFonts w:ascii="Times New Roman" w:eastAsia="宋体"/>
              <w:i w:val="0"/>
              <w:iCs w:val="0"/>
            </w:rPr>
            <w:fldChar w:fldCharType="end"/>
          </w:r>
          <w:r>
            <w:rPr>
              <w:rFonts w:ascii="Times New Roman" w:eastAsia="宋体"/>
              <w:i w:val="0"/>
              <w:iCs w:val="0"/>
            </w:rPr>
            <w:fldChar w:fldCharType="end"/>
          </w:r>
        </w:p>
        <w:p>
          <w:pPr>
            <w:pStyle w:val="19"/>
            <w:tabs>
              <w:tab w:val="right" w:leader="dot" w:pos="8834"/>
            </w:tabs>
            <w:rPr>
              <w:rFonts w:ascii="Times New Roman" w:eastAsia="宋体"/>
              <w:i w:val="0"/>
              <w:iCs w:val="0"/>
              <w:sz w:val="21"/>
              <w:szCs w:val="22"/>
            </w:rPr>
          </w:pPr>
          <w:r>
            <w:fldChar w:fldCharType="begin"/>
          </w:r>
          <w:r>
            <w:instrText xml:space="preserve"> HYPERLINK \l "_Toc66714158" </w:instrText>
          </w:r>
          <w:r>
            <w:fldChar w:fldCharType="separate"/>
          </w:r>
          <w:r>
            <w:rPr>
              <w:rStyle w:val="27"/>
              <w:rFonts w:ascii="Times New Roman" w:eastAsia="宋体"/>
              <w:i w:val="0"/>
              <w:iCs w:val="0"/>
            </w:rPr>
            <w:t>1.2 背景和意义</w:t>
          </w:r>
          <w:r>
            <w:rPr>
              <w:rFonts w:ascii="Times New Roman" w:eastAsia="宋体"/>
              <w:i w:val="0"/>
              <w:iCs w:val="0"/>
            </w:rPr>
            <w:tab/>
          </w:r>
          <w:r>
            <w:rPr>
              <w:rFonts w:ascii="Times New Roman" w:eastAsia="宋体"/>
              <w:i w:val="0"/>
              <w:iCs w:val="0"/>
            </w:rPr>
            <w:fldChar w:fldCharType="begin"/>
          </w:r>
          <w:r>
            <w:rPr>
              <w:rFonts w:ascii="Times New Roman" w:eastAsia="宋体"/>
              <w:i w:val="0"/>
              <w:iCs w:val="0"/>
            </w:rPr>
            <w:instrText xml:space="preserve"> PAGEREF _Toc66714158 \h </w:instrText>
          </w:r>
          <w:r>
            <w:rPr>
              <w:rFonts w:ascii="Times New Roman" w:eastAsia="宋体"/>
              <w:i w:val="0"/>
              <w:iCs w:val="0"/>
            </w:rPr>
            <w:fldChar w:fldCharType="separate"/>
          </w:r>
          <w:r>
            <w:rPr>
              <w:rFonts w:ascii="Times New Roman" w:eastAsia="宋体"/>
              <w:i w:val="0"/>
              <w:iCs w:val="0"/>
            </w:rPr>
            <w:t>1</w:t>
          </w:r>
          <w:r>
            <w:rPr>
              <w:rFonts w:ascii="Times New Roman" w:eastAsia="宋体"/>
              <w:i w:val="0"/>
              <w:iCs w:val="0"/>
            </w:rPr>
            <w:fldChar w:fldCharType="end"/>
          </w:r>
          <w:r>
            <w:rPr>
              <w:rFonts w:ascii="Times New Roman" w:eastAsia="宋体"/>
              <w:i w:val="0"/>
              <w:iCs w:val="0"/>
            </w:rPr>
            <w:fldChar w:fldCharType="end"/>
          </w:r>
        </w:p>
        <w:p>
          <w:pPr>
            <w:pStyle w:val="16"/>
            <w:tabs>
              <w:tab w:val="right" w:leader="dot" w:pos="8834"/>
            </w:tabs>
            <w:rPr>
              <w:rFonts w:ascii="Times New Roman" w:eastAsia="宋体"/>
              <w:b w:val="0"/>
              <w:bCs w:val="0"/>
              <w:sz w:val="21"/>
              <w:szCs w:val="22"/>
            </w:rPr>
          </w:pPr>
          <w:r>
            <w:fldChar w:fldCharType="begin"/>
          </w:r>
          <w:r>
            <w:instrText xml:space="preserve"> HYPERLINK \l "_Toc66714159" </w:instrText>
          </w:r>
          <w:r>
            <w:fldChar w:fldCharType="separate"/>
          </w:r>
          <w:r>
            <w:rPr>
              <w:rStyle w:val="27"/>
              <w:rFonts w:ascii="Times New Roman" w:eastAsia="宋体"/>
              <w:b w:val="0"/>
              <w:bCs w:val="0"/>
            </w:rPr>
            <w:t>二、工作简况</w:t>
          </w:r>
          <w:r>
            <w:rPr>
              <w:rFonts w:ascii="Times New Roman" w:eastAsia="宋体"/>
              <w:b w:val="0"/>
              <w:bCs w:val="0"/>
            </w:rPr>
            <w:tab/>
          </w:r>
          <w:r>
            <w:rPr>
              <w:rFonts w:ascii="Times New Roman" w:eastAsia="宋体"/>
              <w:b w:val="0"/>
              <w:bCs w:val="0"/>
            </w:rPr>
            <w:fldChar w:fldCharType="begin"/>
          </w:r>
          <w:r>
            <w:rPr>
              <w:rFonts w:ascii="Times New Roman" w:eastAsia="宋体"/>
              <w:b w:val="0"/>
              <w:bCs w:val="0"/>
            </w:rPr>
            <w:instrText xml:space="preserve"> PAGEREF _Toc66714159 \h </w:instrText>
          </w:r>
          <w:r>
            <w:rPr>
              <w:rFonts w:ascii="Times New Roman" w:eastAsia="宋体"/>
              <w:b w:val="0"/>
              <w:bCs w:val="0"/>
            </w:rPr>
            <w:fldChar w:fldCharType="separate"/>
          </w:r>
          <w:r>
            <w:rPr>
              <w:rFonts w:ascii="Times New Roman" w:eastAsia="宋体"/>
              <w:b w:val="0"/>
              <w:bCs w:val="0"/>
            </w:rPr>
            <w:t>2</w:t>
          </w:r>
          <w:r>
            <w:rPr>
              <w:rFonts w:ascii="Times New Roman" w:eastAsia="宋体"/>
              <w:b w:val="0"/>
              <w:bCs w:val="0"/>
            </w:rPr>
            <w:fldChar w:fldCharType="end"/>
          </w:r>
          <w:r>
            <w:rPr>
              <w:rFonts w:ascii="Times New Roman" w:eastAsia="宋体"/>
              <w:b w:val="0"/>
              <w:bCs w:val="0"/>
            </w:rPr>
            <w:fldChar w:fldCharType="end"/>
          </w:r>
        </w:p>
        <w:p>
          <w:pPr>
            <w:pStyle w:val="16"/>
            <w:tabs>
              <w:tab w:val="right" w:leader="dot" w:pos="8834"/>
            </w:tabs>
            <w:rPr>
              <w:rFonts w:ascii="Times New Roman" w:eastAsia="宋体"/>
              <w:b w:val="0"/>
              <w:bCs w:val="0"/>
              <w:sz w:val="21"/>
              <w:szCs w:val="22"/>
            </w:rPr>
          </w:pPr>
          <w:r>
            <w:fldChar w:fldCharType="begin"/>
          </w:r>
          <w:r>
            <w:instrText xml:space="preserve"> HYPERLINK \l "_Toc66714160" </w:instrText>
          </w:r>
          <w:r>
            <w:fldChar w:fldCharType="separate"/>
          </w:r>
          <w:r>
            <w:rPr>
              <w:rStyle w:val="27"/>
              <w:rFonts w:ascii="Times New Roman" w:eastAsia="宋体"/>
              <w:b w:val="0"/>
              <w:bCs w:val="0"/>
            </w:rPr>
            <w:t>三、编制原则及标准的主要技术内容说明</w:t>
          </w:r>
          <w:r>
            <w:rPr>
              <w:rFonts w:ascii="Times New Roman" w:eastAsia="宋体"/>
              <w:b w:val="0"/>
              <w:bCs w:val="0"/>
            </w:rPr>
            <w:tab/>
          </w:r>
          <w:r>
            <w:rPr>
              <w:rFonts w:ascii="Times New Roman" w:eastAsia="宋体"/>
              <w:b w:val="0"/>
              <w:bCs w:val="0"/>
            </w:rPr>
            <w:fldChar w:fldCharType="begin"/>
          </w:r>
          <w:r>
            <w:rPr>
              <w:rFonts w:ascii="Times New Roman" w:eastAsia="宋体"/>
              <w:b w:val="0"/>
              <w:bCs w:val="0"/>
            </w:rPr>
            <w:instrText xml:space="preserve"> PAGEREF _Toc66714160 \h </w:instrText>
          </w:r>
          <w:r>
            <w:rPr>
              <w:rFonts w:ascii="Times New Roman" w:eastAsia="宋体"/>
              <w:b w:val="0"/>
              <w:bCs w:val="0"/>
            </w:rPr>
            <w:fldChar w:fldCharType="separate"/>
          </w:r>
          <w:r>
            <w:rPr>
              <w:rFonts w:ascii="Times New Roman" w:eastAsia="宋体"/>
              <w:b w:val="0"/>
              <w:bCs w:val="0"/>
            </w:rPr>
            <w:t>3</w:t>
          </w:r>
          <w:r>
            <w:rPr>
              <w:rFonts w:ascii="Times New Roman" w:eastAsia="宋体"/>
              <w:b w:val="0"/>
              <w:bCs w:val="0"/>
            </w:rPr>
            <w:fldChar w:fldCharType="end"/>
          </w:r>
          <w:r>
            <w:rPr>
              <w:rFonts w:ascii="Times New Roman" w:eastAsia="宋体"/>
              <w:b w:val="0"/>
              <w:bCs w:val="0"/>
            </w:rPr>
            <w:fldChar w:fldCharType="end"/>
          </w:r>
        </w:p>
        <w:p>
          <w:pPr>
            <w:pStyle w:val="19"/>
            <w:tabs>
              <w:tab w:val="right" w:leader="dot" w:pos="8834"/>
            </w:tabs>
            <w:rPr>
              <w:rFonts w:ascii="Times New Roman" w:eastAsia="宋体"/>
              <w:i w:val="0"/>
              <w:iCs w:val="0"/>
              <w:sz w:val="21"/>
              <w:szCs w:val="22"/>
            </w:rPr>
          </w:pPr>
          <w:r>
            <w:fldChar w:fldCharType="begin"/>
          </w:r>
          <w:r>
            <w:instrText xml:space="preserve"> HYPERLINK \l "_Toc66714161" </w:instrText>
          </w:r>
          <w:r>
            <w:fldChar w:fldCharType="separate"/>
          </w:r>
          <w:r>
            <w:rPr>
              <w:rStyle w:val="27"/>
              <w:rFonts w:ascii="Times New Roman" w:eastAsia="宋体"/>
              <w:i w:val="0"/>
              <w:iCs w:val="0"/>
            </w:rPr>
            <w:t>3.1本标准的编制原则</w:t>
          </w:r>
          <w:r>
            <w:rPr>
              <w:rFonts w:ascii="Times New Roman" w:eastAsia="宋体"/>
              <w:i w:val="0"/>
              <w:iCs w:val="0"/>
            </w:rPr>
            <w:tab/>
          </w:r>
          <w:r>
            <w:rPr>
              <w:rFonts w:ascii="Times New Roman" w:eastAsia="宋体"/>
              <w:i w:val="0"/>
              <w:iCs w:val="0"/>
            </w:rPr>
            <w:fldChar w:fldCharType="begin"/>
          </w:r>
          <w:r>
            <w:rPr>
              <w:rFonts w:ascii="Times New Roman" w:eastAsia="宋体"/>
              <w:i w:val="0"/>
              <w:iCs w:val="0"/>
            </w:rPr>
            <w:instrText xml:space="preserve"> PAGEREF _Toc66714161 \h </w:instrText>
          </w:r>
          <w:r>
            <w:rPr>
              <w:rFonts w:ascii="Times New Roman" w:eastAsia="宋体"/>
              <w:i w:val="0"/>
              <w:iCs w:val="0"/>
            </w:rPr>
            <w:fldChar w:fldCharType="separate"/>
          </w:r>
          <w:r>
            <w:rPr>
              <w:rFonts w:ascii="Times New Roman" w:eastAsia="宋体"/>
              <w:i w:val="0"/>
              <w:iCs w:val="0"/>
            </w:rPr>
            <w:t>3</w:t>
          </w:r>
          <w:r>
            <w:rPr>
              <w:rFonts w:ascii="Times New Roman" w:eastAsia="宋体"/>
              <w:i w:val="0"/>
              <w:iCs w:val="0"/>
            </w:rPr>
            <w:fldChar w:fldCharType="end"/>
          </w:r>
          <w:r>
            <w:rPr>
              <w:rFonts w:ascii="Times New Roman" w:eastAsia="宋体"/>
              <w:i w:val="0"/>
              <w:iCs w:val="0"/>
            </w:rPr>
            <w:fldChar w:fldCharType="end"/>
          </w:r>
        </w:p>
        <w:p>
          <w:pPr>
            <w:pStyle w:val="19"/>
            <w:tabs>
              <w:tab w:val="right" w:leader="dot" w:pos="8834"/>
            </w:tabs>
            <w:rPr>
              <w:rFonts w:ascii="Times New Roman" w:eastAsia="宋体"/>
              <w:i w:val="0"/>
              <w:iCs w:val="0"/>
              <w:sz w:val="21"/>
              <w:szCs w:val="22"/>
            </w:rPr>
          </w:pPr>
          <w:r>
            <w:fldChar w:fldCharType="begin"/>
          </w:r>
          <w:r>
            <w:instrText xml:space="preserve"> HYPERLINK \l "_Toc66714162" </w:instrText>
          </w:r>
          <w:r>
            <w:fldChar w:fldCharType="separate"/>
          </w:r>
          <w:r>
            <w:rPr>
              <w:rStyle w:val="27"/>
              <w:rFonts w:ascii="Times New Roman" w:eastAsia="宋体"/>
              <w:i w:val="0"/>
              <w:iCs w:val="0"/>
            </w:rPr>
            <w:t>3.2标准的主要内容及说明</w:t>
          </w:r>
          <w:r>
            <w:rPr>
              <w:rFonts w:ascii="Times New Roman" w:eastAsia="宋体"/>
              <w:i w:val="0"/>
              <w:iCs w:val="0"/>
            </w:rPr>
            <w:tab/>
          </w:r>
          <w:r>
            <w:rPr>
              <w:rFonts w:ascii="Times New Roman" w:eastAsia="宋体"/>
              <w:i w:val="0"/>
              <w:iCs w:val="0"/>
            </w:rPr>
            <w:fldChar w:fldCharType="begin"/>
          </w:r>
          <w:r>
            <w:rPr>
              <w:rFonts w:ascii="Times New Roman" w:eastAsia="宋体"/>
              <w:i w:val="0"/>
              <w:iCs w:val="0"/>
            </w:rPr>
            <w:instrText xml:space="preserve"> PAGEREF _Toc66714162 \h </w:instrText>
          </w:r>
          <w:r>
            <w:rPr>
              <w:rFonts w:ascii="Times New Roman" w:eastAsia="宋体"/>
              <w:i w:val="0"/>
              <w:iCs w:val="0"/>
            </w:rPr>
            <w:fldChar w:fldCharType="separate"/>
          </w:r>
          <w:r>
            <w:rPr>
              <w:rFonts w:ascii="Times New Roman" w:eastAsia="宋体"/>
              <w:i w:val="0"/>
              <w:iCs w:val="0"/>
            </w:rPr>
            <w:t>4</w:t>
          </w:r>
          <w:r>
            <w:rPr>
              <w:rFonts w:ascii="Times New Roman" w:eastAsia="宋体"/>
              <w:i w:val="0"/>
              <w:iCs w:val="0"/>
            </w:rPr>
            <w:fldChar w:fldCharType="end"/>
          </w:r>
          <w:r>
            <w:rPr>
              <w:rFonts w:ascii="Times New Roman" w:eastAsia="宋体"/>
              <w:i w:val="0"/>
              <w:iCs w:val="0"/>
            </w:rPr>
            <w:fldChar w:fldCharType="end"/>
          </w:r>
        </w:p>
        <w:p>
          <w:pPr>
            <w:pStyle w:val="16"/>
            <w:tabs>
              <w:tab w:val="right" w:leader="dot" w:pos="8834"/>
            </w:tabs>
            <w:rPr>
              <w:rFonts w:ascii="Times New Roman" w:eastAsia="宋体"/>
              <w:b w:val="0"/>
              <w:bCs w:val="0"/>
              <w:sz w:val="21"/>
              <w:szCs w:val="22"/>
            </w:rPr>
          </w:pPr>
          <w:r>
            <w:fldChar w:fldCharType="begin"/>
          </w:r>
          <w:r>
            <w:instrText xml:space="preserve"> HYPERLINK \l "_Toc66714174" </w:instrText>
          </w:r>
          <w:r>
            <w:fldChar w:fldCharType="separate"/>
          </w:r>
          <w:r>
            <w:rPr>
              <w:rStyle w:val="27"/>
              <w:rFonts w:ascii="Times New Roman" w:eastAsia="宋体"/>
              <w:b w:val="0"/>
              <w:bCs w:val="0"/>
            </w:rPr>
            <w:t>四、主要验证情况分析</w:t>
          </w:r>
          <w:r>
            <w:rPr>
              <w:rFonts w:ascii="Times New Roman" w:eastAsia="宋体"/>
              <w:b w:val="0"/>
              <w:bCs w:val="0"/>
            </w:rPr>
            <w:tab/>
          </w:r>
          <w:r>
            <w:rPr>
              <w:rFonts w:ascii="Times New Roman" w:eastAsia="宋体"/>
              <w:b w:val="0"/>
              <w:bCs w:val="0"/>
            </w:rPr>
            <w:fldChar w:fldCharType="begin"/>
          </w:r>
          <w:r>
            <w:rPr>
              <w:rFonts w:ascii="Times New Roman" w:eastAsia="宋体"/>
              <w:b w:val="0"/>
              <w:bCs w:val="0"/>
            </w:rPr>
            <w:instrText xml:space="preserve"> PAGEREF _Toc66714174 \h </w:instrText>
          </w:r>
          <w:r>
            <w:rPr>
              <w:rFonts w:ascii="Times New Roman" w:eastAsia="宋体"/>
              <w:b w:val="0"/>
              <w:bCs w:val="0"/>
            </w:rPr>
            <w:fldChar w:fldCharType="separate"/>
          </w:r>
          <w:r>
            <w:rPr>
              <w:rFonts w:ascii="Times New Roman" w:eastAsia="宋体"/>
              <w:b w:val="0"/>
              <w:bCs w:val="0"/>
            </w:rPr>
            <w:t>21</w:t>
          </w:r>
          <w:r>
            <w:rPr>
              <w:rFonts w:ascii="Times New Roman" w:eastAsia="宋体"/>
              <w:b w:val="0"/>
              <w:bCs w:val="0"/>
            </w:rPr>
            <w:fldChar w:fldCharType="end"/>
          </w:r>
          <w:r>
            <w:rPr>
              <w:rFonts w:ascii="Times New Roman" w:eastAsia="宋体"/>
              <w:b w:val="0"/>
              <w:bCs w:val="0"/>
            </w:rPr>
            <w:fldChar w:fldCharType="end"/>
          </w:r>
        </w:p>
        <w:p>
          <w:pPr>
            <w:pStyle w:val="16"/>
            <w:tabs>
              <w:tab w:val="right" w:leader="dot" w:pos="8834"/>
            </w:tabs>
            <w:rPr>
              <w:rFonts w:ascii="Times New Roman" w:eastAsia="宋体"/>
              <w:b w:val="0"/>
              <w:bCs w:val="0"/>
              <w:sz w:val="21"/>
              <w:szCs w:val="22"/>
            </w:rPr>
          </w:pPr>
          <w:r>
            <w:fldChar w:fldCharType="begin"/>
          </w:r>
          <w:r>
            <w:instrText xml:space="preserve"> HYPERLINK \l "_Toc66714175" </w:instrText>
          </w:r>
          <w:r>
            <w:fldChar w:fldCharType="separate"/>
          </w:r>
          <w:r>
            <w:rPr>
              <w:rStyle w:val="27"/>
              <w:rFonts w:ascii="Times New Roman" w:eastAsia="宋体"/>
              <w:b w:val="0"/>
              <w:bCs w:val="0"/>
            </w:rPr>
            <w:t>五、产业化情况、推广应用论证和预期达到的经济效果等情况</w:t>
          </w:r>
          <w:r>
            <w:rPr>
              <w:rFonts w:ascii="Times New Roman" w:eastAsia="宋体"/>
              <w:b w:val="0"/>
              <w:bCs w:val="0"/>
            </w:rPr>
            <w:tab/>
          </w:r>
          <w:r>
            <w:rPr>
              <w:rFonts w:ascii="Times New Roman" w:eastAsia="宋体"/>
              <w:b w:val="0"/>
              <w:bCs w:val="0"/>
            </w:rPr>
            <w:fldChar w:fldCharType="begin"/>
          </w:r>
          <w:r>
            <w:rPr>
              <w:rFonts w:ascii="Times New Roman" w:eastAsia="宋体"/>
              <w:b w:val="0"/>
              <w:bCs w:val="0"/>
            </w:rPr>
            <w:instrText xml:space="preserve"> PAGEREF _Toc66714175 \h </w:instrText>
          </w:r>
          <w:r>
            <w:rPr>
              <w:rFonts w:ascii="Times New Roman" w:eastAsia="宋体"/>
              <w:b w:val="0"/>
              <w:bCs w:val="0"/>
            </w:rPr>
            <w:fldChar w:fldCharType="separate"/>
          </w:r>
          <w:r>
            <w:rPr>
              <w:rFonts w:ascii="Times New Roman" w:eastAsia="宋体"/>
              <w:b w:val="0"/>
              <w:bCs w:val="0"/>
            </w:rPr>
            <w:t>28</w:t>
          </w:r>
          <w:r>
            <w:rPr>
              <w:rFonts w:ascii="Times New Roman" w:eastAsia="宋体"/>
              <w:b w:val="0"/>
              <w:bCs w:val="0"/>
            </w:rPr>
            <w:fldChar w:fldCharType="end"/>
          </w:r>
          <w:r>
            <w:rPr>
              <w:rFonts w:ascii="Times New Roman" w:eastAsia="宋体"/>
              <w:b w:val="0"/>
              <w:bCs w:val="0"/>
            </w:rPr>
            <w:fldChar w:fldCharType="end"/>
          </w:r>
        </w:p>
        <w:p>
          <w:pPr>
            <w:pStyle w:val="16"/>
            <w:tabs>
              <w:tab w:val="right" w:leader="dot" w:pos="8834"/>
            </w:tabs>
            <w:rPr>
              <w:rFonts w:ascii="Times New Roman" w:eastAsia="宋体"/>
              <w:b w:val="0"/>
              <w:bCs w:val="0"/>
              <w:sz w:val="21"/>
              <w:szCs w:val="22"/>
            </w:rPr>
          </w:pPr>
          <w:r>
            <w:fldChar w:fldCharType="begin"/>
          </w:r>
          <w:r>
            <w:instrText xml:space="preserve"> HYPERLINK \l "_Toc66714176" </w:instrText>
          </w:r>
          <w:r>
            <w:fldChar w:fldCharType="separate"/>
          </w:r>
          <w:r>
            <w:rPr>
              <w:rStyle w:val="27"/>
              <w:rFonts w:ascii="Times New Roman" w:eastAsia="宋体"/>
              <w:b w:val="0"/>
              <w:bCs w:val="0"/>
            </w:rPr>
            <w:t>六、标准中涉及专利情况</w:t>
          </w:r>
          <w:r>
            <w:rPr>
              <w:rFonts w:ascii="Times New Roman" w:eastAsia="宋体"/>
              <w:b w:val="0"/>
              <w:bCs w:val="0"/>
            </w:rPr>
            <w:tab/>
          </w:r>
          <w:r>
            <w:rPr>
              <w:rFonts w:ascii="Times New Roman" w:eastAsia="宋体"/>
              <w:b w:val="0"/>
              <w:bCs w:val="0"/>
            </w:rPr>
            <w:fldChar w:fldCharType="begin"/>
          </w:r>
          <w:r>
            <w:rPr>
              <w:rFonts w:ascii="Times New Roman" w:eastAsia="宋体"/>
              <w:b w:val="0"/>
              <w:bCs w:val="0"/>
            </w:rPr>
            <w:instrText xml:space="preserve"> PAGEREF _Toc66714176 \h </w:instrText>
          </w:r>
          <w:r>
            <w:rPr>
              <w:rFonts w:ascii="Times New Roman" w:eastAsia="宋体"/>
              <w:b w:val="0"/>
              <w:bCs w:val="0"/>
            </w:rPr>
            <w:fldChar w:fldCharType="separate"/>
          </w:r>
          <w:r>
            <w:rPr>
              <w:rFonts w:ascii="Times New Roman" w:eastAsia="宋体"/>
              <w:b w:val="0"/>
              <w:bCs w:val="0"/>
            </w:rPr>
            <w:t>30</w:t>
          </w:r>
          <w:r>
            <w:rPr>
              <w:rFonts w:ascii="Times New Roman" w:eastAsia="宋体"/>
              <w:b w:val="0"/>
              <w:bCs w:val="0"/>
            </w:rPr>
            <w:fldChar w:fldCharType="end"/>
          </w:r>
          <w:r>
            <w:rPr>
              <w:rFonts w:ascii="Times New Roman" w:eastAsia="宋体"/>
              <w:b w:val="0"/>
              <w:bCs w:val="0"/>
            </w:rPr>
            <w:fldChar w:fldCharType="end"/>
          </w:r>
        </w:p>
        <w:p>
          <w:pPr>
            <w:pStyle w:val="16"/>
            <w:tabs>
              <w:tab w:val="right" w:leader="dot" w:pos="8834"/>
            </w:tabs>
            <w:rPr>
              <w:rFonts w:ascii="Times New Roman" w:eastAsia="宋体"/>
              <w:b w:val="0"/>
              <w:bCs w:val="0"/>
              <w:sz w:val="21"/>
              <w:szCs w:val="22"/>
            </w:rPr>
          </w:pPr>
          <w:r>
            <w:fldChar w:fldCharType="begin"/>
          </w:r>
          <w:r>
            <w:instrText xml:space="preserve"> HYPERLINK \l "_Toc66714177" </w:instrText>
          </w:r>
          <w:r>
            <w:fldChar w:fldCharType="separate"/>
          </w:r>
          <w:r>
            <w:rPr>
              <w:rStyle w:val="27"/>
              <w:rFonts w:ascii="Times New Roman" w:eastAsia="宋体"/>
              <w:b w:val="0"/>
              <w:bCs w:val="0"/>
            </w:rPr>
            <w:t>七、采用国际标准和国外先进标准情况，与国际、国外同类标准水平的对比情况，国内外关键指标对比分析或与测试的国外样品、样机的相关数据对比情况</w:t>
          </w:r>
          <w:r>
            <w:rPr>
              <w:rFonts w:ascii="Times New Roman" w:eastAsia="宋体"/>
              <w:b w:val="0"/>
              <w:bCs w:val="0"/>
            </w:rPr>
            <w:tab/>
          </w:r>
          <w:r>
            <w:rPr>
              <w:rFonts w:ascii="Times New Roman" w:eastAsia="宋体"/>
              <w:b w:val="0"/>
              <w:bCs w:val="0"/>
            </w:rPr>
            <w:fldChar w:fldCharType="begin"/>
          </w:r>
          <w:r>
            <w:rPr>
              <w:rFonts w:ascii="Times New Roman" w:eastAsia="宋体"/>
              <w:b w:val="0"/>
              <w:bCs w:val="0"/>
            </w:rPr>
            <w:instrText xml:space="preserve"> PAGEREF _Toc66714177 \h </w:instrText>
          </w:r>
          <w:r>
            <w:rPr>
              <w:rFonts w:ascii="Times New Roman" w:eastAsia="宋体"/>
              <w:b w:val="0"/>
              <w:bCs w:val="0"/>
            </w:rPr>
            <w:fldChar w:fldCharType="separate"/>
          </w:r>
          <w:r>
            <w:rPr>
              <w:rFonts w:ascii="Times New Roman" w:eastAsia="宋体"/>
              <w:b w:val="0"/>
              <w:bCs w:val="0"/>
            </w:rPr>
            <w:t>30</w:t>
          </w:r>
          <w:r>
            <w:rPr>
              <w:rFonts w:ascii="Times New Roman" w:eastAsia="宋体"/>
              <w:b w:val="0"/>
              <w:bCs w:val="0"/>
            </w:rPr>
            <w:fldChar w:fldCharType="end"/>
          </w:r>
          <w:r>
            <w:rPr>
              <w:rFonts w:ascii="Times New Roman" w:eastAsia="宋体"/>
              <w:b w:val="0"/>
              <w:bCs w:val="0"/>
            </w:rPr>
            <w:fldChar w:fldCharType="end"/>
          </w:r>
        </w:p>
        <w:p>
          <w:pPr>
            <w:pStyle w:val="16"/>
            <w:tabs>
              <w:tab w:val="right" w:leader="dot" w:pos="8834"/>
            </w:tabs>
            <w:rPr>
              <w:rFonts w:ascii="Times New Roman" w:eastAsia="宋体"/>
              <w:b w:val="0"/>
              <w:bCs w:val="0"/>
              <w:sz w:val="21"/>
              <w:szCs w:val="22"/>
            </w:rPr>
          </w:pPr>
          <w:r>
            <w:fldChar w:fldCharType="begin"/>
          </w:r>
          <w:r>
            <w:instrText xml:space="preserve"> HYPERLINK \l "_Toc66714178" </w:instrText>
          </w:r>
          <w:r>
            <w:fldChar w:fldCharType="separate"/>
          </w:r>
          <w:r>
            <w:rPr>
              <w:rStyle w:val="27"/>
              <w:rFonts w:ascii="Times New Roman" w:eastAsia="宋体"/>
              <w:b w:val="0"/>
              <w:bCs w:val="0"/>
            </w:rPr>
            <w:t>八、与现行相关法律、法规、规章及相关标准，特别是强制性标准的协调性</w:t>
          </w:r>
          <w:r>
            <w:rPr>
              <w:rFonts w:ascii="Times New Roman" w:eastAsia="宋体"/>
              <w:b w:val="0"/>
              <w:bCs w:val="0"/>
            </w:rPr>
            <w:tab/>
          </w:r>
          <w:r>
            <w:rPr>
              <w:rFonts w:ascii="Times New Roman" w:eastAsia="宋体"/>
              <w:b w:val="0"/>
              <w:bCs w:val="0"/>
            </w:rPr>
            <w:fldChar w:fldCharType="begin"/>
          </w:r>
          <w:r>
            <w:rPr>
              <w:rFonts w:ascii="Times New Roman" w:eastAsia="宋体"/>
              <w:b w:val="0"/>
              <w:bCs w:val="0"/>
            </w:rPr>
            <w:instrText xml:space="preserve"> PAGEREF _Toc66714178 \h </w:instrText>
          </w:r>
          <w:r>
            <w:rPr>
              <w:rFonts w:ascii="Times New Roman" w:eastAsia="宋体"/>
              <w:b w:val="0"/>
              <w:bCs w:val="0"/>
            </w:rPr>
            <w:fldChar w:fldCharType="separate"/>
          </w:r>
          <w:r>
            <w:rPr>
              <w:rFonts w:ascii="Times New Roman" w:eastAsia="宋体"/>
              <w:b w:val="0"/>
              <w:bCs w:val="0"/>
            </w:rPr>
            <w:t>30</w:t>
          </w:r>
          <w:r>
            <w:rPr>
              <w:rFonts w:ascii="Times New Roman" w:eastAsia="宋体"/>
              <w:b w:val="0"/>
              <w:bCs w:val="0"/>
            </w:rPr>
            <w:fldChar w:fldCharType="end"/>
          </w:r>
          <w:r>
            <w:rPr>
              <w:rFonts w:ascii="Times New Roman" w:eastAsia="宋体"/>
              <w:b w:val="0"/>
              <w:bCs w:val="0"/>
            </w:rPr>
            <w:fldChar w:fldCharType="end"/>
          </w:r>
        </w:p>
        <w:p>
          <w:pPr>
            <w:pStyle w:val="16"/>
            <w:tabs>
              <w:tab w:val="right" w:leader="dot" w:pos="8834"/>
            </w:tabs>
            <w:rPr>
              <w:rFonts w:ascii="Times New Roman" w:eastAsia="宋体"/>
              <w:b w:val="0"/>
              <w:bCs w:val="0"/>
              <w:sz w:val="21"/>
              <w:szCs w:val="22"/>
            </w:rPr>
          </w:pPr>
          <w:r>
            <w:fldChar w:fldCharType="begin"/>
          </w:r>
          <w:r>
            <w:instrText xml:space="preserve"> HYPERLINK \l "_Toc66714179" </w:instrText>
          </w:r>
          <w:r>
            <w:fldChar w:fldCharType="separate"/>
          </w:r>
          <w:r>
            <w:rPr>
              <w:rStyle w:val="27"/>
              <w:rFonts w:ascii="Times New Roman" w:eastAsia="宋体"/>
              <w:b w:val="0"/>
              <w:bCs w:val="0"/>
            </w:rPr>
            <w:t>九、重大分歧意见的处理经过和依据</w:t>
          </w:r>
          <w:r>
            <w:rPr>
              <w:rFonts w:ascii="Times New Roman" w:eastAsia="宋体"/>
              <w:b w:val="0"/>
              <w:bCs w:val="0"/>
            </w:rPr>
            <w:tab/>
          </w:r>
          <w:r>
            <w:rPr>
              <w:rFonts w:ascii="Times New Roman" w:eastAsia="宋体"/>
              <w:b w:val="0"/>
              <w:bCs w:val="0"/>
            </w:rPr>
            <w:fldChar w:fldCharType="begin"/>
          </w:r>
          <w:r>
            <w:rPr>
              <w:rFonts w:ascii="Times New Roman" w:eastAsia="宋体"/>
              <w:b w:val="0"/>
              <w:bCs w:val="0"/>
            </w:rPr>
            <w:instrText xml:space="preserve"> PAGEREF _Toc66714179 \h </w:instrText>
          </w:r>
          <w:r>
            <w:rPr>
              <w:rFonts w:ascii="Times New Roman" w:eastAsia="宋体"/>
              <w:b w:val="0"/>
              <w:bCs w:val="0"/>
            </w:rPr>
            <w:fldChar w:fldCharType="separate"/>
          </w:r>
          <w:r>
            <w:rPr>
              <w:rFonts w:ascii="Times New Roman" w:eastAsia="宋体"/>
              <w:b w:val="0"/>
              <w:bCs w:val="0"/>
            </w:rPr>
            <w:t>30</w:t>
          </w:r>
          <w:r>
            <w:rPr>
              <w:rFonts w:ascii="Times New Roman" w:eastAsia="宋体"/>
              <w:b w:val="0"/>
              <w:bCs w:val="0"/>
            </w:rPr>
            <w:fldChar w:fldCharType="end"/>
          </w:r>
          <w:r>
            <w:rPr>
              <w:rFonts w:ascii="Times New Roman" w:eastAsia="宋体"/>
              <w:b w:val="0"/>
              <w:bCs w:val="0"/>
            </w:rPr>
            <w:fldChar w:fldCharType="end"/>
          </w:r>
        </w:p>
        <w:p>
          <w:pPr>
            <w:pStyle w:val="16"/>
            <w:tabs>
              <w:tab w:val="right" w:leader="dot" w:pos="8834"/>
            </w:tabs>
            <w:rPr>
              <w:rFonts w:ascii="Times New Roman" w:eastAsia="宋体"/>
              <w:b w:val="0"/>
              <w:bCs w:val="0"/>
              <w:sz w:val="21"/>
              <w:szCs w:val="22"/>
            </w:rPr>
          </w:pPr>
          <w:r>
            <w:fldChar w:fldCharType="begin"/>
          </w:r>
          <w:r>
            <w:instrText xml:space="preserve"> HYPERLINK \l "_Toc66714180" </w:instrText>
          </w:r>
          <w:r>
            <w:fldChar w:fldCharType="separate"/>
          </w:r>
          <w:r>
            <w:rPr>
              <w:rStyle w:val="27"/>
              <w:rFonts w:ascii="Times New Roman" w:eastAsia="宋体"/>
              <w:b w:val="0"/>
              <w:bCs w:val="0"/>
            </w:rPr>
            <w:t>十、标准性质的建议说明</w:t>
          </w:r>
          <w:r>
            <w:rPr>
              <w:rFonts w:ascii="Times New Roman" w:eastAsia="宋体"/>
              <w:b w:val="0"/>
              <w:bCs w:val="0"/>
            </w:rPr>
            <w:tab/>
          </w:r>
          <w:r>
            <w:rPr>
              <w:rFonts w:ascii="Times New Roman" w:eastAsia="宋体"/>
              <w:b w:val="0"/>
              <w:bCs w:val="0"/>
            </w:rPr>
            <w:fldChar w:fldCharType="begin"/>
          </w:r>
          <w:r>
            <w:rPr>
              <w:rFonts w:ascii="Times New Roman" w:eastAsia="宋体"/>
              <w:b w:val="0"/>
              <w:bCs w:val="0"/>
            </w:rPr>
            <w:instrText xml:space="preserve"> PAGEREF _Toc66714180 \h </w:instrText>
          </w:r>
          <w:r>
            <w:rPr>
              <w:rFonts w:ascii="Times New Roman" w:eastAsia="宋体"/>
              <w:b w:val="0"/>
              <w:bCs w:val="0"/>
            </w:rPr>
            <w:fldChar w:fldCharType="separate"/>
          </w:r>
          <w:r>
            <w:rPr>
              <w:rFonts w:ascii="Times New Roman" w:eastAsia="宋体"/>
              <w:b w:val="0"/>
              <w:bCs w:val="0"/>
            </w:rPr>
            <w:t>30</w:t>
          </w:r>
          <w:r>
            <w:rPr>
              <w:rFonts w:ascii="Times New Roman" w:eastAsia="宋体"/>
              <w:b w:val="0"/>
              <w:bCs w:val="0"/>
            </w:rPr>
            <w:fldChar w:fldCharType="end"/>
          </w:r>
          <w:r>
            <w:rPr>
              <w:rFonts w:ascii="Times New Roman" w:eastAsia="宋体"/>
              <w:b w:val="0"/>
              <w:bCs w:val="0"/>
            </w:rPr>
            <w:fldChar w:fldCharType="end"/>
          </w:r>
        </w:p>
        <w:p>
          <w:pPr>
            <w:pStyle w:val="16"/>
            <w:tabs>
              <w:tab w:val="right" w:leader="dot" w:pos="8834"/>
            </w:tabs>
            <w:rPr>
              <w:rFonts w:ascii="Times New Roman" w:eastAsia="宋体"/>
              <w:b w:val="0"/>
              <w:bCs w:val="0"/>
              <w:sz w:val="21"/>
              <w:szCs w:val="22"/>
            </w:rPr>
          </w:pPr>
          <w:r>
            <w:fldChar w:fldCharType="begin"/>
          </w:r>
          <w:r>
            <w:instrText xml:space="preserve"> HYPERLINK \l "_Toc66714181" </w:instrText>
          </w:r>
          <w:r>
            <w:fldChar w:fldCharType="separate"/>
          </w:r>
          <w:r>
            <w:rPr>
              <w:rStyle w:val="27"/>
              <w:rFonts w:ascii="Times New Roman" w:eastAsia="宋体"/>
              <w:b w:val="0"/>
              <w:bCs w:val="0"/>
            </w:rPr>
            <w:t>十一、贯彻标准的要求和措施建议（包括组织措施、技术措施、过度办法、实施日期等）</w:t>
          </w:r>
          <w:r>
            <w:rPr>
              <w:rFonts w:ascii="Times New Roman" w:eastAsia="宋体"/>
              <w:b w:val="0"/>
              <w:bCs w:val="0"/>
            </w:rPr>
            <w:tab/>
          </w:r>
          <w:r>
            <w:rPr>
              <w:rFonts w:ascii="Times New Roman" w:eastAsia="宋体"/>
              <w:b w:val="0"/>
              <w:bCs w:val="0"/>
            </w:rPr>
            <w:fldChar w:fldCharType="begin"/>
          </w:r>
          <w:r>
            <w:rPr>
              <w:rFonts w:ascii="Times New Roman" w:eastAsia="宋体"/>
              <w:b w:val="0"/>
              <w:bCs w:val="0"/>
            </w:rPr>
            <w:instrText xml:space="preserve"> PAGEREF _Toc66714181 \h </w:instrText>
          </w:r>
          <w:r>
            <w:rPr>
              <w:rFonts w:ascii="Times New Roman" w:eastAsia="宋体"/>
              <w:b w:val="0"/>
              <w:bCs w:val="0"/>
            </w:rPr>
            <w:fldChar w:fldCharType="separate"/>
          </w:r>
          <w:r>
            <w:rPr>
              <w:rFonts w:ascii="Times New Roman" w:eastAsia="宋体"/>
              <w:b w:val="0"/>
              <w:bCs w:val="0"/>
            </w:rPr>
            <w:t>30</w:t>
          </w:r>
          <w:r>
            <w:rPr>
              <w:rFonts w:ascii="Times New Roman" w:eastAsia="宋体"/>
              <w:b w:val="0"/>
              <w:bCs w:val="0"/>
            </w:rPr>
            <w:fldChar w:fldCharType="end"/>
          </w:r>
          <w:r>
            <w:rPr>
              <w:rFonts w:ascii="Times New Roman" w:eastAsia="宋体"/>
              <w:b w:val="0"/>
              <w:bCs w:val="0"/>
            </w:rPr>
            <w:fldChar w:fldCharType="end"/>
          </w:r>
        </w:p>
        <w:p>
          <w:pPr>
            <w:pStyle w:val="16"/>
            <w:tabs>
              <w:tab w:val="right" w:leader="dot" w:pos="8834"/>
            </w:tabs>
            <w:rPr>
              <w:rFonts w:ascii="Times New Roman" w:eastAsia="宋体"/>
              <w:b w:val="0"/>
              <w:bCs w:val="0"/>
              <w:sz w:val="21"/>
              <w:szCs w:val="22"/>
            </w:rPr>
          </w:pPr>
          <w:r>
            <w:fldChar w:fldCharType="begin"/>
          </w:r>
          <w:r>
            <w:instrText xml:space="preserve"> HYPERLINK \l "_Toc66714182" </w:instrText>
          </w:r>
          <w:r>
            <w:fldChar w:fldCharType="separate"/>
          </w:r>
          <w:r>
            <w:rPr>
              <w:rStyle w:val="27"/>
              <w:rFonts w:ascii="Times New Roman" w:eastAsia="宋体"/>
              <w:b w:val="0"/>
              <w:bCs w:val="0"/>
            </w:rPr>
            <w:t>十二、废止现行相关标准的建议</w:t>
          </w:r>
          <w:r>
            <w:rPr>
              <w:rFonts w:ascii="Times New Roman" w:eastAsia="宋体"/>
              <w:b w:val="0"/>
              <w:bCs w:val="0"/>
            </w:rPr>
            <w:tab/>
          </w:r>
          <w:r>
            <w:rPr>
              <w:rFonts w:ascii="Times New Roman" w:eastAsia="宋体"/>
              <w:b w:val="0"/>
              <w:bCs w:val="0"/>
            </w:rPr>
            <w:fldChar w:fldCharType="begin"/>
          </w:r>
          <w:r>
            <w:rPr>
              <w:rFonts w:ascii="Times New Roman" w:eastAsia="宋体"/>
              <w:b w:val="0"/>
              <w:bCs w:val="0"/>
            </w:rPr>
            <w:instrText xml:space="preserve"> PAGEREF _Toc66714182 \h </w:instrText>
          </w:r>
          <w:r>
            <w:rPr>
              <w:rFonts w:ascii="Times New Roman" w:eastAsia="宋体"/>
              <w:b w:val="0"/>
              <w:bCs w:val="0"/>
            </w:rPr>
            <w:fldChar w:fldCharType="separate"/>
          </w:r>
          <w:r>
            <w:rPr>
              <w:rFonts w:ascii="Times New Roman" w:eastAsia="宋体"/>
              <w:b w:val="0"/>
              <w:bCs w:val="0"/>
            </w:rPr>
            <w:t>31</w:t>
          </w:r>
          <w:r>
            <w:rPr>
              <w:rFonts w:ascii="Times New Roman" w:eastAsia="宋体"/>
              <w:b w:val="0"/>
              <w:bCs w:val="0"/>
            </w:rPr>
            <w:fldChar w:fldCharType="end"/>
          </w:r>
          <w:r>
            <w:rPr>
              <w:rFonts w:ascii="Times New Roman" w:eastAsia="宋体"/>
              <w:b w:val="0"/>
              <w:bCs w:val="0"/>
            </w:rPr>
            <w:fldChar w:fldCharType="end"/>
          </w:r>
        </w:p>
        <w:p>
          <w:pPr>
            <w:pStyle w:val="16"/>
            <w:tabs>
              <w:tab w:val="right" w:leader="dot" w:pos="8834"/>
            </w:tabs>
            <w:rPr>
              <w:rFonts w:ascii="Times New Roman" w:eastAsia="宋体"/>
              <w:b w:val="0"/>
              <w:bCs w:val="0"/>
              <w:sz w:val="21"/>
              <w:szCs w:val="22"/>
            </w:rPr>
          </w:pPr>
          <w:r>
            <w:fldChar w:fldCharType="begin"/>
          </w:r>
          <w:r>
            <w:instrText xml:space="preserve"> HYPERLINK \l "_Toc66714183" </w:instrText>
          </w:r>
          <w:r>
            <w:fldChar w:fldCharType="separate"/>
          </w:r>
          <w:r>
            <w:rPr>
              <w:rStyle w:val="27"/>
              <w:rFonts w:ascii="Times New Roman" w:eastAsia="宋体"/>
              <w:b w:val="0"/>
              <w:bCs w:val="0"/>
            </w:rPr>
            <w:t>十三、其它应予说明的事项</w:t>
          </w:r>
          <w:r>
            <w:rPr>
              <w:rFonts w:ascii="Times New Roman" w:eastAsia="宋体"/>
              <w:b w:val="0"/>
              <w:bCs w:val="0"/>
            </w:rPr>
            <w:tab/>
          </w:r>
          <w:r>
            <w:rPr>
              <w:rFonts w:ascii="Times New Roman" w:eastAsia="宋体"/>
              <w:b w:val="0"/>
              <w:bCs w:val="0"/>
            </w:rPr>
            <w:fldChar w:fldCharType="begin"/>
          </w:r>
          <w:r>
            <w:rPr>
              <w:rFonts w:ascii="Times New Roman" w:eastAsia="宋体"/>
              <w:b w:val="0"/>
              <w:bCs w:val="0"/>
            </w:rPr>
            <w:instrText xml:space="preserve"> PAGEREF _Toc66714183 \h </w:instrText>
          </w:r>
          <w:r>
            <w:rPr>
              <w:rFonts w:ascii="Times New Roman" w:eastAsia="宋体"/>
              <w:b w:val="0"/>
              <w:bCs w:val="0"/>
            </w:rPr>
            <w:fldChar w:fldCharType="separate"/>
          </w:r>
          <w:r>
            <w:rPr>
              <w:rFonts w:ascii="Times New Roman" w:eastAsia="宋体"/>
              <w:b w:val="0"/>
              <w:bCs w:val="0"/>
            </w:rPr>
            <w:t>31</w:t>
          </w:r>
          <w:r>
            <w:rPr>
              <w:rFonts w:ascii="Times New Roman" w:eastAsia="宋体"/>
              <w:b w:val="0"/>
              <w:bCs w:val="0"/>
            </w:rPr>
            <w:fldChar w:fldCharType="end"/>
          </w:r>
          <w:r>
            <w:rPr>
              <w:rFonts w:ascii="Times New Roman" w:eastAsia="宋体"/>
              <w:b w:val="0"/>
              <w:bCs w:val="0"/>
            </w:rPr>
            <w:fldChar w:fldCharType="end"/>
          </w:r>
        </w:p>
        <w:p>
          <w:r>
            <w:rPr>
              <w:lang w:val="zh-CN"/>
            </w:rPr>
            <w:fldChar w:fldCharType="end"/>
          </w:r>
        </w:p>
      </w:sdtContent>
    </w:sdt>
    <w:p>
      <w:pPr>
        <w:pStyle w:val="33"/>
        <w:spacing w:before="156" w:after="156" w:line="500" w:lineRule="exact"/>
        <w:rPr>
          <w:color w:val="000000"/>
          <w:szCs w:val="24"/>
        </w:rPr>
        <w:sectPr>
          <w:footerReference r:id="rId4" w:type="default"/>
          <w:pgSz w:w="11906" w:h="16838"/>
          <w:pgMar w:top="1418" w:right="1474" w:bottom="1361" w:left="1588" w:header="737" w:footer="737" w:gutter="0"/>
          <w:pgNumType w:start="1"/>
          <w:cols w:space="720" w:num="1"/>
          <w:formProt w:val="0"/>
          <w:docGrid w:type="lines" w:linePitch="312" w:charSpace="0"/>
        </w:sectPr>
      </w:pPr>
    </w:p>
    <w:p>
      <w:pPr>
        <w:pStyle w:val="33"/>
        <w:spacing w:before="156" w:after="156" w:line="500" w:lineRule="exact"/>
        <w:rPr>
          <w:szCs w:val="24"/>
        </w:rPr>
      </w:pPr>
      <w:bookmarkStart w:id="4" w:name="_Toc66714156"/>
      <w:r>
        <w:rPr>
          <w:color w:val="000000"/>
          <w:szCs w:val="24"/>
        </w:rPr>
        <w:t>一、</w:t>
      </w:r>
      <w:r>
        <w:rPr>
          <w:szCs w:val="24"/>
        </w:rPr>
        <w:t>任务来源及编制背景</w:t>
      </w:r>
      <w:bookmarkEnd w:id="2"/>
      <w:bookmarkEnd w:id="3"/>
      <w:bookmarkEnd w:id="4"/>
    </w:p>
    <w:p>
      <w:pPr>
        <w:pStyle w:val="35"/>
        <w:spacing w:before="156" w:after="156" w:line="500" w:lineRule="exact"/>
        <w:rPr>
          <w:rFonts w:ascii="Times New Roman" w:hAnsi="Times New Roman" w:cs="Times New Roman"/>
          <w:sz w:val="24"/>
          <w:szCs w:val="24"/>
        </w:rPr>
      </w:pPr>
      <w:bookmarkStart w:id="5" w:name="_Toc36132041"/>
      <w:bookmarkStart w:id="6" w:name="_Toc242585740"/>
      <w:bookmarkStart w:id="7" w:name="_Toc371511494"/>
      <w:bookmarkStart w:id="8" w:name="_Toc222553786"/>
      <w:bookmarkStart w:id="9" w:name="_Toc66714157"/>
      <w:r>
        <w:rPr>
          <w:rFonts w:ascii="Times New Roman" w:hAnsi="Times New Roman" w:cs="Times New Roman"/>
          <w:sz w:val="24"/>
          <w:szCs w:val="24"/>
        </w:rPr>
        <w:t>1.1任务来源</w:t>
      </w:r>
      <w:bookmarkEnd w:id="5"/>
      <w:bookmarkEnd w:id="6"/>
      <w:bookmarkEnd w:id="7"/>
      <w:bookmarkEnd w:id="8"/>
      <w:bookmarkEnd w:id="9"/>
    </w:p>
    <w:p>
      <w:pPr>
        <w:spacing w:line="500" w:lineRule="exact"/>
        <w:ind w:firstLine="480" w:firstLineChars="200"/>
        <w:rPr>
          <w:rFonts w:hint="default" w:ascii="宋体" w:hAnsi="宋体" w:eastAsia="宋体"/>
          <w:sz w:val="24"/>
          <w:lang w:val="en-US" w:eastAsia="zh-CN"/>
        </w:rPr>
      </w:pPr>
      <w:r>
        <w:rPr>
          <w:rFonts w:ascii="宋体" w:hAnsi="宋体"/>
          <w:sz w:val="24"/>
        </w:rPr>
        <w:t>为更好的贯彻落实《中国制造2025》，加快实施绿色制造工程，构建绿色制造体系，结合《工业和信息化部办公厅关于开展绿色制造体系建设的通知》（工信厅节函〔2016〕586号）要求，在“十三五”期间，以化工、特色轻工、有色、装备制造、建材、纺织、新能源、医药、电子信息行业为重点领域，推广应用绿色制造技术，提升绿色制造水平，构建化工产业绿色制造体系。</w:t>
      </w:r>
      <w:r>
        <w:rPr>
          <w:rFonts w:hint="eastAsia" w:ascii="宋体" w:hAnsi="宋体"/>
          <w:sz w:val="24"/>
          <w:lang w:val="en-US" w:eastAsia="zh-CN"/>
        </w:rPr>
        <w:t>同时，根据《“十四五”工业绿色发展规划》要求，要“强化全生命周期理念，全方位全过程推行工业产品绿色设计。在生态环境影响大、产品涉及面广、产业关联度高的行业，创建绿色设计示范企业，探索行业绿色设计路径，带动产业链、供应链绿色协同提升。构建基于大数据和云计算等技术的绿色设计平台，强化绿色设计与绿色制造协同关键技术供给，加大绿色设计应用。聚焦绿色属性突出、消费量大的工业产品，制定绿色设计评价标准，完善标准采信机制。引导企业采取自我声明或自愿认证的方式，开展绿色设计评价”。</w:t>
      </w:r>
    </w:p>
    <w:p>
      <w:pPr>
        <w:spacing w:line="500" w:lineRule="exact"/>
        <w:ind w:firstLine="480" w:firstLineChars="200"/>
        <w:rPr>
          <w:rFonts w:ascii="宋体" w:hAnsi="宋体"/>
          <w:sz w:val="24"/>
        </w:rPr>
      </w:pPr>
      <w:r>
        <w:rPr>
          <w:rFonts w:hint="eastAsia" w:ascii="宋体" w:hAnsi="宋体"/>
          <w:sz w:val="24"/>
        </w:rPr>
        <w:t>根据</w:t>
      </w:r>
      <w:r>
        <w:rPr>
          <w:rFonts w:hint="eastAsia" w:ascii="宋体" w:hAnsi="宋体"/>
          <w:sz w:val="24"/>
          <w:lang w:val="en-US" w:eastAsia="zh-CN"/>
        </w:rPr>
        <w:t>中国耐火材料行业协会文件《关于下达2022年第一批（总七批）耐火材料团体标准制定计划的通知》（中耐协[2022]12号），</w:t>
      </w:r>
      <w:r>
        <w:rPr>
          <w:rFonts w:hint="eastAsia" w:ascii="宋体" w:hAnsi="宋体"/>
          <w:sz w:val="24"/>
        </w:rPr>
        <w:t xml:space="preserve">《绿色设计产品评价技术规范 </w:t>
      </w:r>
      <w:r>
        <w:rPr>
          <w:rFonts w:hint="eastAsia" w:ascii="宋体" w:hAnsi="宋体"/>
          <w:sz w:val="24"/>
          <w:lang w:eastAsia="zh-CN"/>
        </w:rPr>
        <w:t>镁碳砖</w:t>
      </w:r>
      <w:r>
        <w:rPr>
          <w:rFonts w:hint="eastAsia" w:ascii="宋体" w:hAnsi="宋体"/>
          <w:sz w:val="24"/>
        </w:rPr>
        <w:t>》（</w:t>
      </w:r>
      <w:r>
        <w:rPr>
          <w:rFonts w:hint="eastAsia" w:ascii="宋体" w:hAnsi="宋体"/>
          <w:sz w:val="24"/>
          <w:lang w:val="en-US" w:eastAsia="zh-CN"/>
        </w:rPr>
        <w:t>计划编号202201</w:t>
      </w:r>
      <w:r>
        <w:rPr>
          <w:rFonts w:ascii="宋体" w:hAnsi="宋体"/>
          <w:sz w:val="24"/>
        </w:rPr>
        <w:t>）</w:t>
      </w:r>
      <w:r>
        <w:rPr>
          <w:rFonts w:hint="eastAsia" w:ascii="宋体" w:hAnsi="宋体"/>
          <w:sz w:val="24"/>
        </w:rPr>
        <w:t>作为</w:t>
      </w:r>
      <w:r>
        <w:rPr>
          <w:rFonts w:hint="eastAsia" w:ascii="宋体" w:hAnsi="宋体"/>
          <w:sz w:val="24"/>
          <w:lang w:val="en-US" w:eastAsia="zh-CN"/>
        </w:rPr>
        <w:t>中国耐火材料行业协会团体标准</w:t>
      </w:r>
      <w:r>
        <w:rPr>
          <w:rFonts w:hint="eastAsia" w:ascii="宋体" w:hAnsi="宋体"/>
          <w:sz w:val="24"/>
        </w:rPr>
        <w:t>立项，编制工作由</w:t>
      </w:r>
      <w:r>
        <w:rPr>
          <w:rFonts w:hint="eastAsia" w:ascii="宋体" w:hAnsi="宋体"/>
          <w:sz w:val="24"/>
          <w:lang w:val="en-US" w:eastAsia="zh-CN"/>
        </w:rPr>
        <w:t>北京国建联信认证中心有限公司</w:t>
      </w:r>
      <w:r>
        <w:rPr>
          <w:rFonts w:hint="eastAsia" w:ascii="宋体" w:hAnsi="宋体"/>
          <w:sz w:val="24"/>
        </w:rPr>
        <w:t>等单位负责。</w:t>
      </w:r>
    </w:p>
    <w:p>
      <w:pPr>
        <w:pStyle w:val="35"/>
        <w:spacing w:before="156" w:after="156" w:line="500" w:lineRule="exact"/>
        <w:rPr>
          <w:rFonts w:ascii="Times New Roman" w:hAnsi="Times New Roman" w:cs="Times New Roman"/>
          <w:sz w:val="24"/>
          <w:szCs w:val="24"/>
        </w:rPr>
      </w:pPr>
      <w:bookmarkStart w:id="10" w:name="_Toc36132042"/>
      <w:bookmarkStart w:id="11" w:name="_Toc66714158"/>
      <w:r>
        <w:rPr>
          <w:rFonts w:ascii="Times New Roman" w:hAnsi="Times New Roman" w:cs="Times New Roman"/>
          <w:sz w:val="24"/>
          <w:szCs w:val="24"/>
        </w:rPr>
        <w:t>1.2 背景和意义</w:t>
      </w:r>
      <w:bookmarkEnd w:id="10"/>
      <w:bookmarkEnd w:id="11"/>
    </w:p>
    <w:p>
      <w:pPr>
        <w:spacing w:line="500" w:lineRule="exact"/>
        <w:ind w:firstLine="480" w:firstLineChars="200"/>
        <w:rPr>
          <w:rFonts w:hint="default" w:ascii="宋体" w:hAnsi="宋体"/>
          <w:sz w:val="24"/>
          <w:lang w:val="en-US"/>
        </w:rPr>
      </w:pPr>
      <w:r>
        <w:rPr>
          <w:rFonts w:hint="eastAsia" w:ascii="宋体" w:hAnsi="宋体"/>
          <w:sz w:val="24"/>
        </w:rPr>
        <w:t>随着我国经济建设的调整发展，特别是城市化进程的加快，资源能源消耗加剧，建筑能耗持续攀升，环境污染和生态破坏日益严重，引起了国家的高度关注。党的十八大报告提出“大力推进生态文明建设”，牢固树立创新、协调、绿色、开放、共享的发展理念是应对我国能源生态严峻形势的政策指南。《中国制造</w:t>
      </w:r>
      <w:r>
        <w:rPr>
          <w:rFonts w:ascii="宋体" w:hAnsi="宋体"/>
          <w:sz w:val="24"/>
        </w:rPr>
        <w:t>2025</w:t>
      </w:r>
      <w:r>
        <w:rPr>
          <w:rFonts w:hint="eastAsia" w:ascii="宋体" w:hAnsi="宋体"/>
          <w:sz w:val="24"/>
        </w:rPr>
        <w:t>》、《绿色制造工程实施指南（</w:t>
      </w:r>
      <w:r>
        <w:rPr>
          <w:rFonts w:ascii="宋体" w:hAnsi="宋体"/>
          <w:sz w:val="24"/>
        </w:rPr>
        <w:t>2016</w:t>
      </w:r>
      <w:r>
        <w:rPr>
          <w:rFonts w:hint="eastAsia" w:ascii="宋体" w:hAnsi="宋体"/>
          <w:sz w:val="24"/>
        </w:rPr>
        <w:t>-</w:t>
      </w:r>
      <w:r>
        <w:rPr>
          <w:rFonts w:ascii="宋体" w:hAnsi="宋体"/>
          <w:sz w:val="24"/>
        </w:rPr>
        <w:t>2020</w:t>
      </w:r>
      <w:r>
        <w:rPr>
          <w:rFonts w:hint="eastAsia" w:ascii="宋体" w:hAnsi="宋体"/>
          <w:sz w:val="24"/>
        </w:rPr>
        <w:t>年）》，提出</w:t>
      </w:r>
      <w:r>
        <w:rPr>
          <w:rFonts w:ascii="宋体" w:hAnsi="宋体"/>
          <w:sz w:val="24"/>
        </w:rPr>
        <w:t>坚持“创新驱动、质量为先、绿色发展、结构优化、人才为本”的基本方针</w:t>
      </w:r>
      <w:r>
        <w:rPr>
          <w:rFonts w:hint="eastAsia" w:ascii="宋体" w:hAnsi="宋体"/>
          <w:sz w:val="24"/>
        </w:rPr>
        <w:t>。2015年，习近平总书记提出了“供给侧结构性改革”重大目标，要求用改革的办法推进结构调整，矫正资源配置扭曲，扩大有效供给，提高全要素生产率，促进经济社会持续、健康发展。而大力发展绿色产品，促进消费模式转变，正是供给侧改革的关键。</w:t>
      </w:r>
      <w:r>
        <w:rPr>
          <w:rFonts w:hint="eastAsia" w:ascii="宋体" w:hAnsi="宋体"/>
          <w:sz w:val="24"/>
          <w:lang w:val="en-US" w:eastAsia="zh-CN"/>
        </w:rPr>
        <w:t>且根据《“十四五”工业绿色发展规划》要求，要“强化全生命周期理念，全方位全过程推行工业产品绿色设计。在生态环境影响大、产品涉及面广、产业关联度高的行业，创建绿色设计示范企业，探索行业绿色设计路径，带动产业链、供应链绿色协同提升。构建基于大数据和云计算等技术的绿色设计平台，强化绿色设计与绿色制造协同关键技术供给，加大绿色设计应用。聚焦绿色属性突出、消费量大的工业产品，制定绿色设计评价标准，完善标准采信机制。引导企业采取自我声明或自愿认证的方式，开展绿色设计评价”，再一次强调了“十四五”期间要继续加强落实绿色制造与绿色设计工作。</w:t>
      </w:r>
    </w:p>
    <w:p>
      <w:pPr>
        <w:spacing w:line="500" w:lineRule="exact"/>
        <w:ind w:firstLine="480" w:firstLineChars="200"/>
        <w:rPr>
          <w:rFonts w:hint="default" w:ascii="宋体" w:hAnsi="宋体" w:eastAsia="宋体"/>
          <w:sz w:val="24"/>
          <w:lang w:val="en-US" w:eastAsia="zh-CN"/>
        </w:rPr>
      </w:pPr>
      <w:r>
        <w:rPr>
          <w:rFonts w:hint="eastAsia" w:ascii="宋体" w:hAnsi="宋体"/>
          <w:sz w:val="24"/>
        </w:rPr>
        <w:t>因此，为落实供给侧结构性改革要求，以促进全产业链和产品全生命周期绿色发展为目的，工信部开展了以企业为建设主体，以公开透明的第三方评价机制和标准体系为基础，以绿色工厂、绿色产品、绿色园区、绿色供应链为的主要内容的绿色制造体系建设工作。工信部提出要全面统筹推进绿色制造体系建设，</w:t>
      </w:r>
      <w:r>
        <w:rPr>
          <w:rFonts w:ascii="宋体" w:hAnsi="宋体"/>
          <w:sz w:val="24"/>
        </w:rPr>
        <w:t>2020</w:t>
      </w:r>
      <w:r>
        <w:rPr>
          <w:rFonts w:hint="eastAsia" w:ascii="宋体" w:hAnsi="宋体"/>
          <w:sz w:val="24"/>
        </w:rPr>
        <w:t>年，绿色制造体系</w:t>
      </w:r>
      <w:r>
        <w:rPr>
          <w:rFonts w:hint="eastAsia" w:ascii="宋体" w:hAnsi="宋体"/>
          <w:sz w:val="24"/>
          <w:lang w:val="en-US" w:eastAsia="zh-CN"/>
        </w:rPr>
        <w:t>完成</w:t>
      </w:r>
      <w:r>
        <w:rPr>
          <w:rFonts w:hint="eastAsia" w:ascii="宋体" w:hAnsi="宋体"/>
          <w:sz w:val="24"/>
        </w:rPr>
        <w:t>初步建立，绿色制造相关标准体系和评价体系基本建成，在重点行业出台</w:t>
      </w:r>
      <w:r>
        <w:rPr>
          <w:rFonts w:ascii="宋体" w:hAnsi="宋体"/>
          <w:sz w:val="24"/>
        </w:rPr>
        <w:t>100</w:t>
      </w:r>
      <w:r>
        <w:rPr>
          <w:rFonts w:hint="eastAsia" w:ascii="宋体" w:hAnsi="宋体"/>
          <w:sz w:val="24"/>
        </w:rPr>
        <w:t>项绿色设计产品评价标准的建设目标。</w:t>
      </w:r>
      <w:r>
        <w:rPr>
          <w:rFonts w:hint="eastAsia" w:ascii="宋体" w:hAnsi="宋体"/>
          <w:sz w:val="24"/>
          <w:lang w:val="en-US" w:eastAsia="zh-CN"/>
        </w:rPr>
        <w:t>2022年2月1日，JC/T 2644《绿色设计产品评价技术规范 镁铝尖晶石质耐火制品》和JC/T  2645《绿色设计产品评价技术规范 高铝质耐火制品》正式实施，作为耐火材料行业目前仅有的两项绿色设计评价标准成为了耐火材料及耐火制品的绿色设计发展的良好开端。</w:t>
      </w:r>
    </w:p>
    <w:p>
      <w:pPr>
        <w:spacing w:line="500" w:lineRule="exact"/>
        <w:ind w:firstLine="480" w:firstLineChars="200"/>
        <w:rPr>
          <w:rFonts w:ascii="宋体" w:hAnsi="宋体"/>
          <w:sz w:val="24"/>
        </w:rPr>
      </w:pPr>
      <w:r>
        <w:rPr>
          <w:rFonts w:hint="eastAsia" w:ascii="宋体" w:hAnsi="宋体"/>
          <w:sz w:val="24"/>
        </w:rPr>
        <w:t>经过多年的高速发展，我国已经成长为全球最大的耐火材料生产国，耐火材料产量占到全球的一半以上。2021年行业耐火制品产量总体保持稳定，按协会同口径统计，全国耐火材料制品产量2402.67万吨，同比降低3.04%。其中致密定形耐火制品1320.51万吨，同比降低3.68%；保温隔热耐火制品60.98万吨，同比降低1.98%；不定形耐火制品1021.18万吨，同比降低2.26%。</w:t>
      </w:r>
      <w:r>
        <w:rPr>
          <w:rFonts w:hint="eastAsia" w:ascii="宋体" w:hAnsi="宋体"/>
          <w:sz w:val="24"/>
          <w:lang w:val="en-US" w:eastAsia="zh-CN"/>
        </w:rPr>
        <w:t>2022年，全国耐火材料制品产量2301.00万吨，同比降低4.23%。其中致密定形耐火制品1261.10万吨，同比降低4.50%；保温隔热耐火制品56.78万吨，同比降低6.89%；不定形耐火制品983.11万吨，同比降低3.73%。虽近两年产量有小幅下降，但行业内仍然存在着</w:t>
      </w:r>
      <w:r>
        <w:rPr>
          <w:rFonts w:hint="eastAsia" w:ascii="宋体" w:hAnsi="宋体"/>
          <w:sz w:val="24"/>
        </w:rPr>
        <w:t>产能过剩、企业集中度底，产品质量落后等问题</w:t>
      </w:r>
      <w:r>
        <w:rPr>
          <w:rFonts w:hint="eastAsia" w:ascii="宋体" w:hAnsi="宋体"/>
          <w:sz w:val="24"/>
          <w:lang w:eastAsia="zh-CN"/>
        </w:rPr>
        <w:t>，</w:t>
      </w:r>
      <w:r>
        <w:rPr>
          <w:rFonts w:hint="eastAsia" w:ascii="宋体" w:hAnsi="宋体"/>
          <w:sz w:val="24"/>
        </w:rPr>
        <w:t>始终制约着行业整体向高质量发展的步伐。</w:t>
      </w:r>
    </w:p>
    <w:p>
      <w:pPr>
        <w:spacing w:line="500" w:lineRule="exact"/>
        <w:ind w:firstLine="480" w:firstLineChars="200"/>
        <w:rPr>
          <w:rFonts w:ascii="宋体" w:hAnsi="宋体"/>
          <w:sz w:val="24"/>
        </w:rPr>
      </w:pPr>
      <w:r>
        <w:rPr>
          <w:rFonts w:hint="eastAsia" w:ascii="宋体" w:hAnsi="宋体"/>
          <w:sz w:val="24"/>
        </w:rPr>
        <w:t>从高质量发展的要求出发，耐火材料行业亟需突破绿色发展瓶颈，促进行业整体去产能、补短板、增效益工作的开展。</w:t>
      </w:r>
      <w:r>
        <w:rPr>
          <w:rFonts w:hint="eastAsia" w:ascii="宋体" w:hAnsi="宋体"/>
          <w:sz w:val="24"/>
          <w:lang w:eastAsia="zh-CN"/>
        </w:rPr>
        <w:t>镁碳砖</w:t>
      </w:r>
      <w:r>
        <w:rPr>
          <w:rFonts w:hint="eastAsia" w:ascii="宋体" w:hAnsi="宋体"/>
          <w:sz w:val="24"/>
        </w:rPr>
        <w:t>作为生产工艺成熟、能耗、环境影响较明显的一类传统耐火制品，选择其作为突破口制定绿色设计产品评价标准，编制</w:t>
      </w:r>
      <w:r>
        <w:rPr>
          <w:rFonts w:ascii="宋体" w:hAnsi="宋体"/>
          <w:sz w:val="24"/>
        </w:rPr>
        <w:t xml:space="preserve">《绿色设计产品评价技术规范  </w:t>
      </w:r>
      <w:r>
        <w:rPr>
          <w:rFonts w:hint="eastAsia" w:ascii="宋体" w:hAnsi="宋体"/>
          <w:sz w:val="24"/>
          <w:lang w:eastAsia="zh-CN"/>
        </w:rPr>
        <w:t>镁碳砖</w:t>
      </w:r>
      <w:r>
        <w:rPr>
          <w:rFonts w:ascii="宋体" w:hAnsi="宋体"/>
          <w:sz w:val="24"/>
        </w:rPr>
        <w:t>》</w:t>
      </w:r>
      <w:r>
        <w:rPr>
          <w:rFonts w:hint="eastAsia" w:ascii="宋体" w:hAnsi="宋体"/>
          <w:sz w:val="24"/>
        </w:rPr>
        <w:t>，</w:t>
      </w:r>
      <w:r>
        <w:rPr>
          <w:rFonts w:ascii="宋体" w:hAnsi="宋体"/>
          <w:sz w:val="24"/>
        </w:rPr>
        <w:t>旨在依据《生态设计产品评价通则》（GB/T 32</w:t>
      </w:r>
      <w:r>
        <w:rPr>
          <w:rFonts w:hint="eastAsia" w:ascii="宋体" w:hAnsi="宋体"/>
          <w:sz w:val="24"/>
        </w:rPr>
        <w:t>1</w:t>
      </w:r>
      <w:r>
        <w:rPr>
          <w:rFonts w:ascii="宋体" w:hAnsi="宋体"/>
          <w:sz w:val="24"/>
        </w:rPr>
        <w:t>61），采用产品全生命周期绿色管理理念，重点从资源、能源、环境和产品品质四个方面选取表征</w:t>
      </w:r>
      <w:r>
        <w:rPr>
          <w:rFonts w:hint="eastAsia" w:ascii="宋体" w:hAnsi="宋体"/>
          <w:sz w:val="24"/>
          <w:lang w:eastAsia="zh-CN"/>
        </w:rPr>
        <w:t>镁碳砖</w:t>
      </w:r>
      <w:r>
        <w:rPr>
          <w:rFonts w:ascii="宋体" w:hAnsi="宋体"/>
          <w:sz w:val="24"/>
        </w:rPr>
        <w:t>产品全生命周期绿色程度的评价指标，并规定其生命周期评价报告编制方法，具有以下作用和意义：</w:t>
      </w:r>
    </w:p>
    <w:p>
      <w:pPr>
        <w:spacing w:line="500" w:lineRule="exact"/>
        <w:ind w:firstLine="480" w:firstLineChars="200"/>
        <w:rPr>
          <w:rFonts w:ascii="宋体" w:hAnsi="宋体"/>
          <w:sz w:val="24"/>
        </w:rPr>
      </w:pPr>
      <w:r>
        <w:rPr>
          <w:rFonts w:ascii="宋体" w:hAnsi="宋体"/>
          <w:sz w:val="24"/>
        </w:rPr>
        <w:t>（1）目前，我国尚无针对</w:t>
      </w:r>
      <w:r>
        <w:rPr>
          <w:rFonts w:hint="eastAsia" w:ascii="宋体" w:hAnsi="宋体"/>
          <w:sz w:val="24"/>
          <w:lang w:eastAsia="zh-CN"/>
        </w:rPr>
        <w:t>镁碳砖</w:t>
      </w:r>
      <w:r>
        <w:rPr>
          <w:rFonts w:ascii="宋体" w:hAnsi="宋体"/>
          <w:sz w:val="24"/>
        </w:rPr>
        <w:t>产品的绿色设计产品评价技术规范，</w:t>
      </w:r>
      <w:r>
        <w:rPr>
          <w:rFonts w:hint="eastAsia" w:ascii="宋体" w:hAnsi="宋体"/>
          <w:sz w:val="24"/>
          <w:lang w:eastAsia="zh-CN"/>
        </w:rPr>
        <w:t>镁碳砖</w:t>
      </w:r>
      <w:r>
        <w:rPr>
          <w:rFonts w:hint="eastAsia" w:ascii="宋体" w:hAnsi="宋体"/>
          <w:sz w:val="24"/>
        </w:rPr>
        <w:t>绿色设计</w:t>
      </w:r>
      <w:r>
        <w:rPr>
          <w:rFonts w:ascii="宋体" w:hAnsi="宋体"/>
          <w:sz w:val="24"/>
        </w:rPr>
        <w:t>产品缺乏统一的定义和标准。本标准的制定，将统一我国</w:t>
      </w:r>
      <w:r>
        <w:rPr>
          <w:rFonts w:hint="eastAsia" w:ascii="宋体" w:hAnsi="宋体"/>
          <w:sz w:val="24"/>
          <w:lang w:eastAsia="zh-CN"/>
        </w:rPr>
        <w:t>镁碳砖</w:t>
      </w:r>
      <w:r>
        <w:rPr>
          <w:rFonts w:hint="eastAsia" w:ascii="宋体" w:hAnsi="宋体"/>
          <w:sz w:val="24"/>
        </w:rPr>
        <w:t>绿色设计</w:t>
      </w:r>
      <w:r>
        <w:rPr>
          <w:rFonts w:ascii="宋体" w:hAnsi="宋体"/>
          <w:sz w:val="24"/>
        </w:rPr>
        <w:t>产品的定义和指标体系要求；</w:t>
      </w:r>
    </w:p>
    <w:p>
      <w:pPr>
        <w:spacing w:line="500" w:lineRule="exact"/>
        <w:ind w:firstLine="480" w:firstLineChars="200"/>
        <w:rPr>
          <w:rFonts w:ascii="宋体" w:hAnsi="宋体"/>
          <w:sz w:val="24"/>
        </w:rPr>
      </w:pPr>
      <w:r>
        <w:rPr>
          <w:rFonts w:ascii="宋体" w:hAnsi="宋体"/>
          <w:sz w:val="24"/>
        </w:rPr>
        <w:t>（2）本标准为开展</w:t>
      </w:r>
      <w:r>
        <w:rPr>
          <w:rFonts w:hint="eastAsia" w:ascii="宋体" w:hAnsi="宋体"/>
          <w:sz w:val="24"/>
          <w:lang w:eastAsia="zh-CN"/>
        </w:rPr>
        <w:t>镁碳砖</w:t>
      </w:r>
      <w:r>
        <w:rPr>
          <w:rFonts w:ascii="宋体" w:hAnsi="宋体"/>
          <w:sz w:val="24"/>
        </w:rPr>
        <w:t>的绿色设计产品评价提供了技术依据，将</w:t>
      </w:r>
      <w:r>
        <w:rPr>
          <w:rFonts w:hint="eastAsia" w:ascii="宋体" w:hAnsi="宋体"/>
          <w:sz w:val="24"/>
          <w:lang w:eastAsia="zh-CN"/>
        </w:rPr>
        <w:t>镁碳砖</w:t>
      </w:r>
      <w:r>
        <w:rPr>
          <w:rFonts w:ascii="宋体" w:hAnsi="宋体"/>
          <w:sz w:val="24"/>
        </w:rPr>
        <w:t>产品纳入了绿色设计产品评价范围，扩充了</w:t>
      </w:r>
      <w:r>
        <w:rPr>
          <w:rFonts w:hint="eastAsia" w:ascii="宋体" w:hAnsi="宋体"/>
          <w:sz w:val="24"/>
          <w:lang w:val="en-US" w:eastAsia="zh-CN"/>
        </w:rPr>
        <w:t>耐火材料绿色设计</w:t>
      </w:r>
      <w:r>
        <w:rPr>
          <w:rFonts w:ascii="宋体" w:hAnsi="宋体"/>
          <w:sz w:val="24"/>
        </w:rPr>
        <w:t>产品目录</w:t>
      </w:r>
      <w:r>
        <w:rPr>
          <w:rFonts w:hint="eastAsia" w:ascii="宋体" w:hAnsi="宋体"/>
          <w:sz w:val="24"/>
        </w:rPr>
        <w:t>；</w:t>
      </w:r>
    </w:p>
    <w:p>
      <w:pPr>
        <w:spacing w:line="500" w:lineRule="exact"/>
        <w:ind w:firstLine="480" w:firstLineChars="200"/>
        <w:rPr>
          <w:rFonts w:ascii="宋体" w:hAnsi="宋体"/>
          <w:sz w:val="24"/>
        </w:rPr>
      </w:pPr>
      <w:r>
        <w:rPr>
          <w:rFonts w:ascii="宋体" w:hAnsi="宋体"/>
          <w:sz w:val="24"/>
        </w:rPr>
        <w:t>（3）通过开展</w:t>
      </w:r>
      <w:r>
        <w:rPr>
          <w:rFonts w:hint="eastAsia" w:ascii="宋体" w:hAnsi="宋体"/>
          <w:sz w:val="24"/>
          <w:lang w:eastAsia="zh-CN"/>
        </w:rPr>
        <w:t>镁碳砖</w:t>
      </w:r>
      <w:r>
        <w:rPr>
          <w:rFonts w:ascii="宋体" w:hAnsi="宋体"/>
          <w:sz w:val="24"/>
        </w:rPr>
        <w:t>绿色设计产品的评价工作，将促使科研院所、生产企业在产品设计开发阶段系统考虑原材料选用、生产、销售、使用、回收、处理等各个环节对资源环境造成的影响，从而显著降低产品能耗物耗、污染物和温室气体排放，助力于</w:t>
      </w:r>
      <w:r>
        <w:rPr>
          <w:rFonts w:hint="eastAsia" w:ascii="宋体" w:hAnsi="宋体"/>
          <w:sz w:val="24"/>
          <w:lang w:eastAsia="zh-CN"/>
        </w:rPr>
        <w:t>《“</w:t>
      </w:r>
      <w:r>
        <w:rPr>
          <w:rFonts w:hint="eastAsia" w:ascii="宋体" w:hAnsi="宋体"/>
          <w:sz w:val="24"/>
          <w:lang w:val="en-US" w:eastAsia="zh-CN"/>
        </w:rPr>
        <w:t>十四五”工业绿色发展规划》及“碳达峰碳中和”目标</w:t>
      </w:r>
      <w:r>
        <w:rPr>
          <w:rFonts w:ascii="宋体" w:hAnsi="宋体"/>
          <w:sz w:val="24"/>
        </w:rPr>
        <w:t>的实现。</w:t>
      </w:r>
    </w:p>
    <w:p>
      <w:pPr>
        <w:pStyle w:val="33"/>
        <w:spacing w:before="156" w:after="156" w:line="500" w:lineRule="exact"/>
        <w:rPr>
          <w:szCs w:val="24"/>
        </w:rPr>
      </w:pPr>
      <w:bookmarkStart w:id="12" w:name="_Toc66714159"/>
      <w:bookmarkStart w:id="13" w:name="_Toc36132043"/>
      <w:r>
        <w:rPr>
          <w:szCs w:val="24"/>
        </w:rPr>
        <w:t>二、工作简况</w:t>
      </w:r>
      <w:bookmarkEnd w:id="12"/>
      <w:bookmarkEnd w:id="13"/>
    </w:p>
    <w:p>
      <w:pPr>
        <w:spacing w:line="500" w:lineRule="exact"/>
        <w:ind w:firstLine="480" w:firstLineChars="200"/>
        <w:rPr>
          <w:rFonts w:ascii="宋体" w:hAnsi="宋体"/>
          <w:sz w:val="24"/>
        </w:rPr>
      </w:pPr>
      <w:r>
        <w:rPr>
          <w:rFonts w:ascii="宋体" w:hAnsi="宋体"/>
          <w:sz w:val="24"/>
        </w:rPr>
        <w:t>本标准遵循生命周期的基本指导思想，在广泛收集国内外</w:t>
      </w:r>
      <w:r>
        <w:rPr>
          <w:rFonts w:hint="eastAsia" w:ascii="宋体" w:hAnsi="宋体"/>
          <w:sz w:val="24"/>
          <w:lang w:eastAsia="zh-CN"/>
        </w:rPr>
        <w:t>镁碳砖</w:t>
      </w:r>
      <w:r>
        <w:rPr>
          <w:rFonts w:ascii="宋体" w:hAnsi="宋体"/>
          <w:sz w:val="24"/>
        </w:rPr>
        <w:t>行业环境保护、清洁生产相关的政策、法律法规、技术导则、标准等文献，选择典型企业开展系统深入地实地调研，结合我国</w:t>
      </w:r>
      <w:r>
        <w:rPr>
          <w:rFonts w:hint="eastAsia" w:ascii="宋体" w:hAnsi="宋体"/>
          <w:sz w:val="24"/>
          <w:lang w:eastAsia="zh-CN"/>
        </w:rPr>
        <w:t>镁碳砖</w:t>
      </w:r>
      <w:r>
        <w:rPr>
          <w:rFonts w:ascii="宋体" w:hAnsi="宋体"/>
          <w:sz w:val="24"/>
        </w:rPr>
        <w:t>环保的现状，进行全面系统研究的基础上，完成了本标准征求意见稿的撰写。该标准给出了绿色</w:t>
      </w:r>
      <w:r>
        <w:rPr>
          <w:rFonts w:hint="eastAsia" w:ascii="宋体" w:hAnsi="宋体"/>
          <w:sz w:val="24"/>
          <w:lang w:eastAsia="zh-CN"/>
        </w:rPr>
        <w:t>镁碳砖</w:t>
      </w:r>
      <w:r>
        <w:rPr>
          <w:rFonts w:ascii="宋体" w:hAnsi="宋体"/>
          <w:sz w:val="24"/>
        </w:rPr>
        <w:t>的基本要求、评价指标体系框架、生命周期评价要求、评价方法。具体编制过程如下：</w:t>
      </w:r>
    </w:p>
    <w:p>
      <w:pPr>
        <w:spacing w:line="500" w:lineRule="exact"/>
        <w:ind w:firstLine="480" w:firstLineChars="200"/>
        <w:rPr>
          <w:rFonts w:ascii="宋体" w:hAnsi="宋体"/>
          <w:sz w:val="24"/>
        </w:rPr>
      </w:pPr>
      <w:r>
        <w:rPr>
          <w:rFonts w:hint="eastAsia" w:ascii="宋体" w:hAnsi="宋体"/>
          <w:sz w:val="24"/>
        </w:rPr>
        <w:t>20</w:t>
      </w:r>
      <w:r>
        <w:rPr>
          <w:rFonts w:hint="eastAsia" w:ascii="宋体" w:hAnsi="宋体"/>
          <w:sz w:val="24"/>
          <w:lang w:val="en-US" w:eastAsia="zh-CN"/>
        </w:rPr>
        <w:t>22</w:t>
      </w:r>
      <w:r>
        <w:rPr>
          <w:rFonts w:hint="eastAsia" w:ascii="宋体" w:hAnsi="宋体"/>
          <w:sz w:val="24"/>
        </w:rPr>
        <w:t>年</w:t>
      </w:r>
      <w:r>
        <w:rPr>
          <w:rFonts w:hint="eastAsia" w:ascii="宋体" w:hAnsi="宋体"/>
          <w:sz w:val="24"/>
          <w:lang w:val="en-US" w:eastAsia="zh-CN"/>
        </w:rPr>
        <w:t>4</w:t>
      </w:r>
      <w:r>
        <w:rPr>
          <w:rFonts w:hint="eastAsia" w:ascii="宋体" w:hAnsi="宋体"/>
          <w:sz w:val="24"/>
        </w:rPr>
        <w:t>月，</w:t>
      </w:r>
      <w:r>
        <w:rPr>
          <w:rFonts w:hint="eastAsia" w:ascii="宋体" w:hAnsi="宋体"/>
          <w:sz w:val="24"/>
          <w:lang w:val="en-US" w:eastAsia="zh-CN"/>
        </w:rPr>
        <w:t>中国耐火材料行业协会</w:t>
      </w:r>
      <w:r>
        <w:rPr>
          <w:rFonts w:hint="eastAsia" w:ascii="宋体" w:hAnsi="宋体"/>
          <w:sz w:val="24"/>
        </w:rPr>
        <w:t xml:space="preserve">下达《绿色设计产品评价技术规范 </w:t>
      </w:r>
      <w:r>
        <w:rPr>
          <w:rFonts w:hint="eastAsia" w:ascii="宋体" w:hAnsi="宋体"/>
          <w:sz w:val="24"/>
          <w:lang w:eastAsia="zh-CN"/>
        </w:rPr>
        <w:t>镁碳砖</w:t>
      </w:r>
      <w:r>
        <w:rPr>
          <w:rFonts w:hint="eastAsia" w:ascii="宋体" w:hAnsi="宋体"/>
          <w:sz w:val="24"/>
        </w:rPr>
        <w:t>》建材行业标准制订计划，计划编号</w:t>
      </w:r>
      <w:r>
        <w:rPr>
          <w:rFonts w:hint="eastAsia" w:ascii="宋体" w:hAnsi="宋体"/>
          <w:sz w:val="24"/>
          <w:lang w:val="en-US" w:eastAsia="zh-CN"/>
        </w:rPr>
        <w:t>202201</w:t>
      </w:r>
      <w:r>
        <w:rPr>
          <w:rFonts w:hint="eastAsia" w:ascii="宋体" w:hAnsi="宋体"/>
          <w:sz w:val="24"/>
        </w:rPr>
        <w:t>。</w:t>
      </w:r>
    </w:p>
    <w:p>
      <w:pPr>
        <w:spacing w:line="500" w:lineRule="exact"/>
        <w:ind w:firstLine="480" w:firstLineChars="200"/>
        <w:rPr>
          <w:rFonts w:ascii="宋体" w:hAnsi="宋体"/>
          <w:sz w:val="24"/>
        </w:rPr>
      </w:pPr>
      <w:bookmarkStart w:id="14" w:name="_Toc36132044"/>
      <w:bookmarkStart w:id="15" w:name="_Toc242585748"/>
      <w:bookmarkStart w:id="16" w:name="_Toc251577422"/>
      <w:bookmarkStart w:id="17" w:name="_Toc222553790"/>
      <w:r>
        <w:rPr>
          <w:rFonts w:hint="eastAsia" w:ascii="宋体" w:hAnsi="宋体"/>
          <w:sz w:val="24"/>
        </w:rPr>
        <w:t>20</w:t>
      </w:r>
      <w:r>
        <w:rPr>
          <w:rFonts w:hint="eastAsia" w:ascii="宋体" w:hAnsi="宋体"/>
          <w:sz w:val="24"/>
          <w:lang w:val="en-US" w:eastAsia="zh-CN"/>
        </w:rPr>
        <w:t>22</w:t>
      </w:r>
      <w:r>
        <w:rPr>
          <w:rFonts w:hint="eastAsia" w:ascii="宋体" w:hAnsi="宋体"/>
          <w:sz w:val="24"/>
        </w:rPr>
        <w:t>年</w:t>
      </w:r>
      <w:r>
        <w:rPr>
          <w:rFonts w:hint="eastAsia" w:ascii="宋体" w:hAnsi="宋体"/>
          <w:sz w:val="24"/>
          <w:lang w:val="en-US" w:eastAsia="zh-CN"/>
        </w:rPr>
        <w:t>6</w:t>
      </w:r>
      <w:r>
        <w:rPr>
          <w:rFonts w:hint="eastAsia" w:ascii="宋体" w:hAnsi="宋体"/>
          <w:sz w:val="24"/>
        </w:rPr>
        <w:t>月，</w:t>
      </w:r>
      <w:r>
        <w:rPr>
          <w:rFonts w:hint="eastAsia" w:ascii="宋体" w:hAnsi="宋体"/>
          <w:sz w:val="24"/>
          <w:lang w:val="en-US" w:eastAsia="zh-CN"/>
        </w:rPr>
        <w:t>由北京国建联信认证中心组织</w:t>
      </w:r>
      <w:r>
        <w:rPr>
          <w:rFonts w:hint="eastAsia" w:ascii="宋体" w:hAnsi="宋体"/>
          <w:sz w:val="24"/>
        </w:rPr>
        <w:t>召开标准编制工作启动会，确定标准编制组，由北京国建联信认证中心有限公司</w:t>
      </w:r>
      <w:r>
        <w:rPr>
          <w:rFonts w:hint="eastAsia" w:ascii="宋体" w:hAnsi="宋体"/>
          <w:sz w:val="24"/>
          <w:lang w:eastAsia="zh-CN"/>
        </w:rPr>
        <w:t>、</w:t>
      </w:r>
      <w:r>
        <w:rPr>
          <w:rFonts w:hint="eastAsia" w:ascii="宋体" w:hAnsi="宋体"/>
          <w:sz w:val="24"/>
        </w:rPr>
        <w:t>建材工业质量认证管理中心等单位</w:t>
      </w:r>
      <w:r>
        <w:rPr>
          <w:rFonts w:hint="eastAsia" w:ascii="宋体" w:hAnsi="宋体"/>
          <w:sz w:val="24"/>
          <w:lang w:val="en-US" w:eastAsia="zh-CN"/>
        </w:rPr>
        <w:t>主要</w:t>
      </w:r>
      <w:r>
        <w:rPr>
          <w:rFonts w:hint="eastAsia" w:ascii="宋体" w:hAnsi="宋体"/>
          <w:sz w:val="24"/>
        </w:rPr>
        <w:t>负责</w:t>
      </w:r>
      <w:r>
        <w:rPr>
          <w:rFonts w:hint="eastAsia" w:ascii="宋体" w:hAnsi="宋体"/>
          <w:sz w:val="24"/>
          <w:lang w:val="en-US" w:eastAsia="zh-CN"/>
        </w:rPr>
        <w:t>标准文本编写工作，并在会上就编制组建立情况、草案编制情况、行业调研需求及计划向中国耐火材料行业进行了详细的介绍与汇报</w:t>
      </w:r>
      <w:r>
        <w:rPr>
          <w:rFonts w:hint="eastAsia" w:ascii="宋体" w:hAnsi="宋体"/>
          <w:sz w:val="24"/>
        </w:rPr>
        <w:t>；</w:t>
      </w:r>
    </w:p>
    <w:p>
      <w:pPr>
        <w:spacing w:line="500" w:lineRule="exact"/>
        <w:ind w:firstLine="480" w:firstLineChars="200"/>
        <w:rPr>
          <w:rFonts w:ascii="宋体" w:hAnsi="宋体"/>
          <w:sz w:val="24"/>
        </w:rPr>
      </w:pPr>
      <w:r>
        <w:rPr>
          <w:rFonts w:hint="eastAsia" w:ascii="宋体" w:hAnsi="宋体"/>
          <w:sz w:val="24"/>
        </w:rPr>
        <w:t>202</w:t>
      </w:r>
      <w:r>
        <w:rPr>
          <w:rFonts w:hint="eastAsia" w:ascii="宋体" w:hAnsi="宋体"/>
          <w:sz w:val="24"/>
          <w:lang w:val="en-US" w:eastAsia="zh-CN"/>
        </w:rPr>
        <w:t>2</w:t>
      </w:r>
      <w:r>
        <w:rPr>
          <w:rFonts w:hint="eastAsia" w:ascii="宋体" w:hAnsi="宋体"/>
          <w:sz w:val="24"/>
        </w:rPr>
        <w:t>年</w:t>
      </w:r>
      <w:r>
        <w:rPr>
          <w:rFonts w:hint="eastAsia" w:ascii="宋体" w:hAnsi="宋体"/>
          <w:sz w:val="24"/>
          <w:lang w:val="en-US" w:eastAsia="zh-CN"/>
        </w:rPr>
        <w:t>7月-10</w:t>
      </w:r>
      <w:r>
        <w:rPr>
          <w:rFonts w:hint="eastAsia" w:ascii="宋体" w:hAnsi="宋体"/>
          <w:sz w:val="24"/>
        </w:rPr>
        <w:t>月，完成</w:t>
      </w:r>
      <w:r>
        <w:rPr>
          <w:rFonts w:hint="eastAsia" w:ascii="宋体" w:hAnsi="宋体"/>
          <w:sz w:val="24"/>
          <w:lang w:val="en-US" w:eastAsia="zh-CN"/>
        </w:rPr>
        <w:t>第一轮</w:t>
      </w:r>
      <w:r>
        <w:rPr>
          <w:rFonts w:hint="eastAsia" w:ascii="宋体" w:hAnsi="宋体"/>
          <w:sz w:val="24"/>
        </w:rPr>
        <w:t>行业调研，搜集并分析了相关数据，</w:t>
      </w:r>
      <w:r>
        <w:rPr>
          <w:rFonts w:hint="eastAsia" w:ascii="宋体" w:hAnsi="宋体"/>
          <w:sz w:val="24"/>
          <w:lang w:val="en-US" w:eastAsia="zh-CN"/>
        </w:rPr>
        <w:t>根据调研结果初步确定了镁碳砖评价指标内容及生命周期评价方法</w:t>
      </w:r>
      <w:r>
        <w:rPr>
          <w:rFonts w:hint="eastAsia" w:ascii="宋体" w:hAnsi="宋体"/>
          <w:sz w:val="24"/>
        </w:rPr>
        <w:t>；</w:t>
      </w:r>
    </w:p>
    <w:p>
      <w:pPr>
        <w:spacing w:line="500" w:lineRule="exact"/>
        <w:ind w:firstLine="480" w:firstLineChars="200"/>
        <w:rPr>
          <w:rFonts w:ascii="宋体" w:hAnsi="宋体"/>
          <w:sz w:val="24"/>
        </w:rPr>
      </w:pPr>
      <w:r>
        <w:rPr>
          <w:rFonts w:hint="eastAsia" w:ascii="宋体" w:hAnsi="宋体"/>
          <w:sz w:val="24"/>
        </w:rPr>
        <w:t>202</w:t>
      </w:r>
      <w:r>
        <w:rPr>
          <w:rFonts w:hint="eastAsia" w:ascii="宋体" w:hAnsi="宋体"/>
          <w:sz w:val="24"/>
          <w:lang w:val="en-US" w:eastAsia="zh-CN"/>
        </w:rPr>
        <w:t>2</w:t>
      </w:r>
      <w:r>
        <w:rPr>
          <w:rFonts w:hint="eastAsia" w:ascii="宋体" w:hAnsi="宋体"/>
          <w:sz w:val="24"/>
        </w:rPr>
        <w:t>年</w:t>
      </w:r>
      <w:r>
        <w:rPr>
          <w:rFonts w:hint="eastAsia" w:ascii="宋体" w:hAnsi="宋体"/>
          <w:sz w:val="24"/>
          <w:lang w:val="en-US" w:eastAsia="zh-CN"/>
        </w:rPr>
        <w:t>11月-2023年7月</w:t>
      </w:r>
      <w:r>
        <w:rPr>
          <w:rFonts w:hint="eastAsia" w:ascii="宋体" w:hAnsi="宋体"/>
          <w:sz w:val="24"/>
        </w:rPr>
        <w:t>，</w:t>
      </w:r>
      <w:r>
        <w:rPr>
          <w:rFonts w:hint="eastAsia" w:ascii="宋体" w:hAnsi="宋体"/>
          <w:sz w:val="24"/>
          <w:lang w:val="en-US" w:eastAsia="zh-CN"/>
        </w:rPr>
        <w:t>根据初步确定的镁碳砖评价指标内容及生命周期评价方法，定向征集镁碳砖生产企业意见，并同时开展第二轮行业调研</w:t>
      </w:r>
      <w:r>
        <w:rPr>
          <w:rFonts w:hint="eastAsia" w:ascii="宋体" w:hAnsi="宋体"/>
          <w:sz w:val="24"/>
        </w:rPr>
        <w:t>；</w:t>
      </w:r>
    </w:p>
    <w:p>
      <w:pPr>
        <w:spacing w:line="500" w:lineRule="exact"/>
        <w:ind w:firstLine="480" w:firstLineChars="200"/>
        <w:rPr>
          <w:rFonts w:ascii="宋体" w:hAnsi="宋体"/>
          <w:sz w:val="24"/>
        </w:rPr>
      </w:pPr>
      <w:r>
        <w:rPr>
          <w:rFonts w:hint="eastAsia" w:ascii="宋体" w:hAnsi="宋体"/>
          <w:sz w:val="24"/>
        </w:rPr>
        <w:t>202</w:t>
      </w:r>
      <w:r>
        <w:rPr>
          <w:rFonts w:hint="eastAsia" w:ascii="宋体" w:hAnsi="宋体"/>
          <w:sz w:val="24"/>
          <w:lang w:val="en-US" w:eastAsia="zh-CN"/>
        </w:rPr>
        <w:t>3</w:t>
      </w:r>
      <w:r>
        <w:rPr>
          <w:rFonts w:hint="eastAsia" w:ascii="宋体" w:hAnsi="宋体"/>
          <w:sz w:val="24"/>
        </w:rPr>
        <w:t>年</w:t>
      </w:r>
      <w:r>
        <w:rPr>
          <w:rFonts w:hint="eastAsia" w:ascii="宋体" w:hAnsi="宋体"/>
          <w:sz w:val="24"/>
          <w:lang w:val="en-US" w:eastAsia="zh-CN"/>
        </w:rPr>
        <w:t>8</w:t>
      </w:r>
      <w:r>
        <w:rPr>
          <w:rFonts w:hint="eastAsia" w:ascii="宋体" w:hAnsi="宋体"/>
          <w:sz w:val="24"/>
        </w:rPr>
        <w:t>月</w:t>
      </w:r>
      <w:r>
        <w:rPr>
          <w:rFonts w:hint="eastAsia" w:ascii="宋体" w:hAnsi="宋体"/>
          <w:sz w:val="24"/>
          <w:lang w:val="en-US" w:eastAsia="zh-CN"/>
        </w:rPr>
        <w:t>30日</w:t>
      </w:r>
      <w:r>
        <w:rPr>
          <w:rFonts w:hint="eastAsia" w:ascii="宋体" w:hAnsi="宋体"/>
          <w:sz w:val="24"/>
        </w:rPr>
        <w:t>，</w:t>
      </w:r>
      <w:bookmarkStart w:id="18" w:name="_Toc351215567"/>
      <w:r>
        <w:rPr>
          <w:rFonts w:hint="eastAsia" w:ascii="宋体" w:hAnsi="宋体"/>
          <w:sz w:val="24"/>
          <w:lang w:val="en-US" w:eastAsia="zh-CN"/>
        </w:rPr>
        <w:t>根据两轮调研结果，由中国耐火材料行业协会组织，标准主要起草单位及参与起草单位于山东济南开展“</w:t>
      </w:r>
      <w:r>
        <w:rPr>
          <w:rFonts w:hint="eastAsia" w:ascii="宋体" w:hAnsi="宋体" w:eastAsia="宋体" w:cs="宋体"/>
          <w:i w:val="0"/>
          <w:caps w:val="0"/>
          <w:color w:val="000000"/>
          <w:spacing w:val="0"/>
          <w:sz w:val="24"/>
          <w:szCs w:val="24"/>
          <w:u w:val="none"/>
          <w:shd w:val="clear" w:fill="FFFFFF"/>
        </w:rPr>
        <w:t>《绿色设计产品评价技术规范 镁碳砖》</w:t>
      </w:r>
      <w:r>
        <w:rPr>
          <w:rFonts w:hint="eastAsia" w:ascii="宋体" w:hAnsi="宋体" w:eastAsia="宋体" w:cs="宋体"/>
          <w:i w:val="0"/>
          <w:caps w:val="0"/>
          <w:color w:val="000000"/>
          <w:spacing w:val="0"/>
          <w:sz w:val="24"/>
          <w:szCs w:val="24"/>
          <w:u w:val="none"/>
          <w:shd w:val="clear" w:fill="FFFFFF"/>
          <w:lang w:eastAsia="zh-CN"/>
        </w:rPr>
        <w:t>专题</w:t>
      </w:r>
      <w:r>
        <w:rPr>
          <w:rFonts w:hint="eastAsia" w:ascii="宋体" w:hAnsi="宋体" w:eastAsia="宋体" w:cs="宋体"/>
          <w:i w:val="0"/>
          <w:caps w:val="0"/>
          <w:color w:val="000000"/>
          <w:spacing w:val="0"/>
          <w:sz w:val="24"/>
          <w:szCs w:val="24"/>
          <w:u w:val="none"/>
          <w:shd w:val="clear" w:fill="FFFFFF"/>
        </w:rPr>
        <w:t>研讨会</w:t>
      </w:r>
      <w:r>
        <w:rPr>
          <w:rFonts w:hint="eastAsia" w:ascii="宋体" w:hAnsi="宋体" w:cs="宋体"/>
          <w:i w:val="0"/>
          <w:caps w:val="0"/>
          <w:color w:val="000000"/>
          <w:spacing w:val="0"/>
          <w:sz w:val="24"/>
          <w:szCs w:val="24"/>
          <w:u w:val="none"/>
          <w:shd w:val="clear" w:fill="FFFFFF"/>
          <w:lang w:eastAsia="zh-CN"/>
        </w:rPr>
        <w:t>”，</w:t>
      </w:r>
      <w:r>
        <w:rPr>
          <w:rFonts w:hint="eastAsia" w:ascii="宋体" w:hAnsi="宋体" w:cs="宋体"/>
          <w:i w:val="0"/>
          <w:caps w:val="0"/>
          <w:color w:val="000000"/>
          <w:spacing w:val="0"/>
          <w:sz w:val="24"/>
          <w:szCs w:val="24"/>
          <w:u w:val="none"/>
          <w:shd w:val="clear" w:fill="FFFFFF"/>
          <w:lang w:val="en-US" w:eastAsia="zh-CN"/>
        </w:rPr>
        <w:t>会上就标准文本进行了充分研讨与修改</w:t>
      </w:r>
      <w:r>
        <w:rPr>
          <w:rFonts w:hint="eastAsia" w:ascii="宋体" w:hAnsi="宋体"/>
          <w:sz w:val="24"/>
        </w:rPr>
        <w:t>；</w:t>
      </w:r>
    </w:p>
    <w:p>
      <w:pPr>
        <w:spacing w:line="500" w:lineRule="exact"/>
        <w:ind w:firstLine="480" w:firstLineChars="200"/>
        <w:rPr>
          <w:rFonts w:ascii="宋体" w:hAnsi="宋体"/>
          <w:sz w:val="24"/>
        </w:rPr>
      </w:pPr>
      <w:bookmarkStart w:id="19" w:name="_Hlk64723022"/>
      <w:r>
        <w:rPr>
          <w:rFonts w:ascii="宋体" w:hAnsi="宋体"/>
          <w:sz w:val="24"/>
        </w:rPr>
        <w:t>202</w:t>
      </w:r>
      <w:r>
        <w:rPr>
          <w:rFonts w:hint="eastAsia" w:ascii="宋体" w:hAnsi="宋体"/>
          <w:sz w:val="24"/>
          <w:lang w:val="en-US" w:eastAsia="zh-CN"/>
        </w:rPr>
        <w:t>3</w:t>
      </w:r>
      <w:r>
        <w:rPr>
          <w:rFonts w:hint="eastAsia" w:ascii="宋体" w:hAnsi="宋体"/>
          <w:sz w:val="24"/>
        </w:rPr>
        <w:t>年</w:t>
      </w:r>
      <w:r>
        <w:rPr>
          <w:rFonts w:ascii="宋体" w:hAnsi="宋体"/>
          <w:sz w:val="24"/>
        </w:rPr>
        <w:t>9</w:t>
      </w:r>
      <w:r>
        <w:rPr>
          <w:rFonts w:hint="eastAsia" w:ascii="宋体" w:hAnsi="宋体"/>
          <w:sz w:val="24"/>
        </w:rPr>
        <w:t>月，</w:t>
      </w:r>
      <w:r>
        <w:rPr>
          <w:rFonts w:hint="eastAsia" w:ascii="宋体" w:hAnsi="宋体"/>
          <w:sz w:val="24"/>
          <w:lang w:val="en-US" w:eastAsia="zh-CN"/>
        </w:rPr>
        <w:t>根据研讨会专家意见，标准编制组对标准文本进行进一步修改，形成标准征求意见稿，向中国耐火材料行业协会提出标准征求意见申请</w:t>
      </w:r>
      <w:r>
        <w:rPr>
          <w:rFonts w:hint="eastAsia" w:ascii="宋体" w:hAnsi="宋体"/>
          <w:sz w:val="24"/>
        </w:rPr>
        <w:t>；</w:t>
      </w:r>
    </w:p>
    <w:bookmarkEnd w:id="18"/>
    <w:bookmarkEnd w:id="19"/>
    <w:p>
      <w:pPr>
        <w:pStyle w:val="33"/>
        <w:spacing w:before="156" w:after="156" w:line="500" w:lineRule="exact"/>
        <w:rPr>
          <w:szCs w:val="24"/>
        </w:rPr>
      </w:pPr>
      <w:bookmarkStart w:id="20" w:name="_Toc66714160"/>
      <w:r>
        <w:rPr>
          <w:szCs w:val="24"/>
        </w:rPr>
        <w:t>三、编制原则及标准的主要技术内容说明</w:t>
      </w:r>
      <w:bookmarkEnd w:id="14"/>
      <w:bookmarkEnd w:id="20"/>
      <w:r>
        <w:rPr>
          <w:szCs w:val="24"/>
        </w:rPr>
        <w:t xml:space="preserve"> </w:t>
      </w:r>
    </w:p>
    <w:p>
      <w:pPr>
        <w:pStyle w:val="35"/>
        <w:spacing w:before="156" w:after="156" w:line="500" w:lineRule="exact"/>
        <w:rPr>
          <w:rFonts w:ascii="Times New Roman" w:hAnsi="Times New Roman" w:cs="Times New Roman"/>
          <w:sz w:val="24"/>
          <w:szCs w:val="24"/>
        </w:rPr>
      </w:pPr>
      <w:bookmarkStart w:id="21" w:name="_Toc66714161"/>
      <w:bookmarkStart w:id="22" w:name="_Toc36132045"/>
      <w:r>
        <w:rPr>
          <w:rFonts w:ascii="Times New Roman" w:hAnsi="Times New Roman" w:cs="Times New Roman"/>
          <w:sz w:val="24"/>
          <w:szCs w:val="24"/>
        </w:rPr>
        <w:t>3.1本标准的编制原则</w:t>
      </w:r>
      <w:bookmarkEnd w:id="21"/>
      <w:bookmarkEnd w:id="22"/>
    </w:p>
    <w:p>
      <w:pPr>
        <w:spacing w:line="500" w:lineRule="exact"/>
        <w:ind w:firstLine="480" w:firstLineChars="200"/>
        <w:rPr>
          <w:sz w:val="24"/>
        </w:rPr>
      </w:pPr>
      <w:r>
        <w:rPr>
          <w:sz w:val="24"/>
        </w:rPr>
        <w:t>遵循标准编制先进性、科学性、一致性和可行性的原则。在编制过程中，以</w:t>
      </w:r>
      <w:r>
        <w:rPr>
          <w:rFonts w:hint="eastAsia"/>
          <w:sz w:val="24"/>
        </w:rPr>
        <w:t>GB</w:t>
      </w:r>
      <w:r>
        <w:rPr>
          <w:sz w:val="24"/>
        </w:rPr>
        <w:t>/</w:t>
      </w:r>
      <w:r>
        <w:rPr>
          <w:rFonts w:hint="eastAsia"/>
          <w:sz w:val="24"/>
        </w:rPr>
        <w:t>T</w:t>
      </w:r>
      <w:r>
        <w:rPr>
          <w:sz w:val="24"/>
        </w:rPr>
        <w:t xml:space="preserve"> 32161-2015 </w:t>
      </w:r>
      <w:r>
        <w:rPr>
          <w:rFonts w:hint="eastAsia"/>
          <w:sz w:val="24"/>
        </w:rPr>
        <w:t>《生态设计产品评价通则》</w:t>
      </w:r>
      <w:r>
        <w:rPr>
          <w:sz w:val="24"/>
        </w:rPr>
        <w:t>为依据，以</w:t>
      </w:r>
      <w:r>
        <w:rPr>
          <w:rFonts w:hint="eastAsia"/>
          <w:sz w:val="24"/>
        </w:rPr>
        <w:t>GB</w:t>
      </w:r>
      <w:r>
        <w:rPr>
          <w:sz w:val="24"/>
        </w:rPr>
        <w:t>/</w:t>
      </w:r>
      <w:r>
        <w:rPr>
          <w:rFonts w:hint="eastAsia"/>
          <w:sz w:val="24"/>
        </w:rPr>
        <w:t>T</w:t>
      </w:r>
      <w:r>
        <w:rPr>
          <w:sz w:val="24"/>
        </w:rPr>
        <w:t xml:space="preserve"> 1.1-2020</w:t>
      </w:r>
      <w:r>
        <w:rPr>
          <w:rFonts w:hint="eastAsia"/>
          <w:sz w:val="24"/>
        </w:rPr>
        <w:t>《标准化工作导则 第1部分：标准化文件的结构和起草规则》</w:t>
      </w:r>
      <w:r>
        <w:rPr>
          <w:sz w:val="24"/>
        </w:rPr>
        <w:t>为指导，</w:t>
      </w:r>
      <w:r>
        <w:rPr>
          <w:rFonts w:hint="eastAsia"/>
          <w:sz w:val="24"/>
        </w:rPr>
        <w:t>在符合国家现行法律、法规以及</w:t>
      </w:r>
      <w:r>
        <w:rPr>
          <w:rFonts w:hint="eastAsia"/>
          <w:sz w:val="24"/>
          <w:lang w:eastAsia="zh-CN"/>
        </w:rPr>
        <w:t>镁碳砖</w:t>
      </w:r>
      <w:r>
        <w:rPr>
          <w:rFonts w:hint="eastAsia"/>
          <w:sz w:val="24"/>
        </w:rPr>
        <w:t>行业政策要求的前提下，结合《绿色制造工程实施指南（2016-2020年）》、《工业绿色发展规划（2016-2020年）》、《原材料工业质量提升三年行动方案（2018-2020年）》</w:t>
      </w:r>
      <w:r>
        <w:rPr>
          <w:rFonts w:hint="eastAsia"/>
          <w:sz w:val="24"/>
          <w:lang w:eastAsia="zh-CN"/>
        </w:rPr>
        <w:t>、《“</w:t>
      </w:r>
      <w:r>
        <w:rPr>
          <w:rFonts w:hint="eastAsia"/>
          <w:sz w:val="24"/>
          <w:lang w:val="en-US" w:eastAsia="zh-CN"/>
        </w:rPr>
        <w:t>十四五”工业绿色发展规划》</w:t>
      </w:r>
      <w:r>
        <w:rPr>
          <w:rFonts w:hint="eastAsia"/>
          <w:sz w:val="24"/>
        </w:rPr>
        <w:t>等政策制定的相关目标，</w:t>
      </w:r>
      <w:r>
        <w:rPr>
          <w:sz w:val="24"/>
        </w:rPr>
        <w:t>参</w:t>
      </w:r>
      <w:r>
        <w:rPr>
          <w:rFonts w:hint="eastAsia"/>
          <w:sz w:val="24"/>
        </w:rPr>
        <w:t>考</w:t>
      </w:r>
      <w:r>
        <w:rPr>
          <w:sz w:val="24"/>
        </w:rPr>
        <w:t>国内外相关标准，广泛调研国内相关行业企业实际生产情况，综合考虑</w:t>
      </w:r>
      <w:r>
        <w:rPr>
          <w:rFonts w:hint="eastAsia"/>
          <w:sz w:val="24"/>
          <w:lang w:eastAsia="zh-CN"/>
        </w:rPr>
        <w:t>镁碳砖</w:t>
      </w:r>
      <w:r>
        <w:rPr>
          <w:rFonts w:hint="eastAsia"/>
          <w:sz w:val="24"/>
        </w:rPr>
        <w:t>产品</w:t>
      </w:r>
      <w:r>
        <w:rPr>
          <w:sz w:val="24"/>
        </w:rPr>
        <w:t>行业当前水平与发展趋势，</w:t>
      </w:r>
      <w:r>
        <w:rPr>
          <w:rFonts w:hint="eastAsia"/>
          <w:sz w:val="24"/>
        </w:rPr>
        <w:t>从产品生命周期的角度，对</w:t>
      </w:r>
      <w:r>
        <w:rPr>
          <w:rFonts w:hint="eastAsia"/>
          <w:sz w:val="24"/>
          <w:lang w:eastAsia="zh-CN"/>
        </w:rPr>
        <w:t>镁碳砖</w:t>
      </w:r>
      <w:r>
        <w:rPr>
          <w:rFonts w:hint="eastAsia"/>
          <w:sz w:val="24"/>
        </w:rPr>
        <w:t>绿色设计做出了详细的规定。</w:t>
      </w:r>
    </w:p>
    <w:p>
      <w:pPr>
        <w:spacing w:line="500" w:lineRule="exact"/>
        <w:ind w:firstLine="480" w:firstLineChars="200"/>
        <w:rPr>
          <w:sz w:val="24"/>
        </w:rPr>
      </w:pPr>
      <w:r>
        <w:rPr>
          <w:rFonts w:hint="eastAsia"/>
          <w:sz w:val="24"/>
        </w:rPr>
        <w:t>依据生命周期评价方法，考虑到</w:t>
      </w:r>
      <w:r>
        <w:rPr>
          <w:rFonts w:hint="eastAsia"/>
          <w:sz w:val="24"/>
          <w:lang w:eastAsia="zh-CN"/>
        </w:rPr>
        <w:t>镁碳砖</w:t>
      </w:r>
      <w:r>
        <w:rPr>
          <w:rFonts w:hint="eastAsia"/>
          <w:sz w:val="24"/>
        </w:rPr>
        <w:t>产品的整个生命周期，从设计开发、原材料获取、生产、包装、运输、使用及废弃后回收处理等阶段，深入分析各阶段的资源消耗、生态环境、人体健康影响因素，选取不同阶段的典型指标构成评价指标体系。</w:t>
      </w:r>
    </w:p>
    <w:p>
      <w:pPr>
        <w:spacing w:line="500" w:lineRule="exact"/>
        <w:ind w:firstLine="480" w:firstLineChars="200"/>
        <w:rPr>
          <w:sz w:val="24"/>
        </w:rPr>
      </w:pPr>
      <w:r>
        <w:rPr>
          <w:rFonts w:hint="eastAsia"/>
          <w:sz w:val="24"/>
        </w:rPr>
        <w:t>本标准在满足评价指标体系要求的基础上，采用生命周期评价方法，开展生命周期清单分析，进行生命周期影响评价，将环境影响评价结果作为产品生态设计评价的重要参考依据，以体现标准的系统性、科学性和可操作性</w:t>
      </w:r>
      <w:r>
        <w:rPr>
          <w:sz w:val="24"/>
        </w:rPr>
        <w:t>。</w:t>
      </w:r>
    </w:p>
    <w:p>
      <w:pPr>
        <w:pStyle w:val="35"/>
        <w:spacing w:before="156" w:after="156" w:line="500" w:lineRule="exact"/>
        <w:rPr>
          <w:rFonts w:ascii="Times New Roman" w:hAnsi="Times New Roman" w:cs="Times New Roman"/>
          <w:sz w:val="24"/>
          <w:szCs w:val="24"/>
        </w:rPr>
      </w:pPr>
      <w:bookmarkStart w:id="23" w:name="_Toc66714162"/>
      <w:bookmarkStart w:id="24" w:name="_Toc36132046"/>
      <w:r>
        <w:rPr>
          <w:rFonts w:ascii="Times New Roman" w:hAnsi="Times New Roman" w:cs="Times New Roman"/>
          <w:sz w:val="24"/>
          <w:szCs w:val="24"/>
        </w:rPr>
        <w:t>3.2标准的主要内容及说明</w:t>
      </w:r>
      <w:bookmarkEnd w:id="23"/>
      <w:bookmarkEnd w:id="24"/>
      <w:r>
        <w:rPr>
          <w:rFonts w:ascii="Times New Roman" w:hAnsi="Times New Roman" w:cs="Times New Roman"/>
          <w:sz w:val="24"/>
          <w:szCs w:val="24"/>
        </w:rPr>
        <w:t xml:space="preserve"> </w:t>
      </w:r>
    </w:p>
    <w:p>
      <w:pPr>
        <w:pStyle w:val="40"/>
        <w:spacing w:line="500" w:lineRule="exact"/>
        <w:rPr>
          <w:rFonts w:cs="Times New Roman"/>
          <w:sz w:val="24"/>
          <w:szCs w:val="24"/>
        </w:rPr>
      </w:pPr>
      <w:bookmarkStart w:id="25" w:name="_Toc66714163"/>
      <w:r>
        <w:rPr>
          <w:rFonts w:cs="Times New Roman"/>
          <w:sz w:val="24"/>
          <w:szCs w:val="24"/>
        </w:rPr>
        <w:t>3.2.1 范围</w:t>
      </w:r>
      <w:bookmarkEnd w:id="25"/>
    </w:p>
    <w:p>
      <w:pPr>
        <w:autoSpaceDE w:val="0"/>
        <w:autoSpaceDN w:val="0"/>
        <w:adjustRightInd w:val="0"/>
        <w:spacing w:line="500" w:lineRule="exact"/>
        <w:ind w:firstLine="480" w:firstLineChars="200"/>
        <w:jc w:val="left"/>
        <w:rPr>
          <w:rFonts w:hint="eastAsia"/>
          <w:sz w:val="24"/>
        </w:rPr>
      </w:pPr>
      <w:r>
        <w:rPr>
          <w:rFonts w:hint="eastAsia"/>
          <w:sz w:val="24"/>
        </w:rPr>
        <w:t>本文件规定了镁碳砖绿色设计产品的术语和定义、评价流程、评价要求、产品生命周期评价报告编制方法、判定及标识。</w:t>
      </w:r>
    </w:p>
    <w:p>
      <w:pPr>
        <w:autoSpaceDE w:val="0"/>
        <w:autoSpaceDN w:val="0"/>
        <w:adjustRightInd w:val="0"/>
        <w:spacing w:line="500" w:lineRule="exact"/>
        <w:ind w:firstLine="480" w:firstLineChars="200"/>
        <w:jc w:val="left"/>
        <w:rPr>
          <w:sz w:val="24"/>
        </w:rPr>
      </w:pPr>
      <w:r>
        <w:rPr>
          <w:rFonts w:hint="eastAsia"/>
          <w:sz w:val="24"/>
        </w:rPr>
        <w:t>本文件适用于镁碳砖的绿色设计产品评价。</w:t>
      </w:r>
    </w:p>
    <w:p>
      <w:pPr>
        <w:pStyle w:val="40"/>
        <w:spacing w:line="500" w:lineRule="exact"/>
        <w:rPr>
          <w:rFonts w:cs="Times New Roman"/>
          <w:sz w:val="24"/>
          <w:szCs w:val="24"/>
        </w:rPr>
      </w:pPr>
      <w:bookmarkStart w:id="26" w:name="_Toc46485317"/>
      <w:bookmarkStart w:id="27" w:name="_Toc66714164"/>
      <w:r>
        <w:rPr>
          <w:rFonts w:cs="Times New Roman"/>
          <w:sz w:val="24"/>
          <w:szCs w:val="24"/>
        </w:rPr>
        <w:t>3.2.2 术语和定义</w:t>
      </w:r>
      <w:bookmarkEnd w:id="26"/>
      <w:bookmarkEnd w:id="27"/>
    </w:p>
    <w:p>
      <w:pPr>
        <w:spacing w:line="500" w:lineRule="exact"/>
        <w:ind w:firstLine="480" w:firstLineChars="200"/>
        <w:rPr>
          <w:sz w:val="24"/>
        </w:rPr>
      </w:pPr>
      <w:r>
        <w:rPr>
          <w:sz w:val="24"/>
        </w:rPr>
        <w:t>在充分考虑本标准适用范围以及参考其他相关标准定义的基础上给出本标准的术语和定义。</w:t>
      </w:r>
    </w:p>
    <w:p>
      <w:pPr>
        <w:spacing w:line="500" w:lineRule="exact"/>
        <w:ind w:firstLine="480" w:firstLineChars="200"/>
        <w:rPr>
          <w:sz w:val="24"/>
        </w:rPr>
      </w:pPr>
      <w:r>
        <w:rPr>
          <w:sz w:val="24"/>
        </w:rPr>
        <w:t>参考国家现行相关标准，对绿色设计、绿色设计产品等关键性术语作相关定义。</w:t>
      </w:r>
    </w:p>
    <w:p>
      <w:pPr>
        <w:pStyle w:val="40"/>
        <w:spacing w:line="500" w:lineRule="exact"/>
        <w:rPr>
          <w:rFonts w:cs="Times New Roman"/>
          <w:sz w:val="24"/>
          <w:szCs w:val="24"/>
        </w:rPr>
      </w:pPr>
      <w:bookmarkStart w:id="28" w:name="_Toc66714165"/>
      <w:bookmarkStart w:id="29" w:name="_Toc46485318"/>
      <w:r>
        <w:rPr>
          <w:rFonts w:cs="Times New Roman"/>
          <w:sz w:val="24"/>
          <w:szCs w:val="24"/>
        </w:rPr>
        <w:t xml:space="preserve">3.2.3 </w:t>
      </w:r>
      <w:r>
        <w:rPr>
          <w:rFonts w:hint="eastAsia" w:cs="Times New Roman"/>
          <w:sz w:val="24"/>
          <w:szCs w:val="24"/>
        </w:rPr>
        <w:t>评价流程</w:t>
      </w:r>
      <w:bookmarkEnd w:id="28"/>
    </w:p>
    <w:p>
      <w:pPr>
        <w:spacing w:line="500" w:lineRule="exact"/>
        <w:ind w:firstLine="480" w:firstLineChars="200"/>
        <w:rPr>
          <w:sz w:val="24"/>
        </w:rPr>
      </w:pPr>
      <w:bookmarkStart w:id="30" w:name="_Hlk64723140"/>
      <w:r>
        <w:rPr>
          <w:rFonts w:hint="eastAsia"/>
          <w:sz w:val="24"/>
        </w:rPr>
        <w:t>本文件依据GB/T 32161-2015 《生态设计产品评价通则》规定的绿色设计产品评价流程，制定了</w:t>
      </w:r>
      <w:r>
        <w:rPr>
          <w:rFonts w:hint="eastAsia"/>
          <w:sz w:val="24"/>
          <w:lang w:eastAsia="zh-CN"/>
        </w:rPr>
        <w:t>镁碳砖</w:t>
      </w:r>
      <w:r>
        <w:rPr>
          <w:rFonts w:hint="eastAsia"/>
          <w:sz w:val="24"/>
        </w:rPr>
        <w:t>绿色设计产品评价的固定流程。如图1。</w:t>
      </w:r>
    </w:p>
    <w:p>
      <w:pPr>
        <w:jc w:val="center"/>
      </w:pPr>
      <w:bookmarkStart w:id="31" w:name="_Hlk65761066"/>
      <w:r>
        <w:rPr>
          <w:rFonts w:ascii="Times New Roman"/>
          <w:color w:val="auto"/>
          <w:highlight w:val="none"/>
        </w:rPr>
        <w:object>
          <v:shape id="_x0000_i1025" o:spt="75" type="#_x0000_t75" style="height:209.3pt;width:467.3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bookmarkEnd w:id="31"/>
      <w:r>
        <w:rPr>
          <w:rFonts w:hint="eastAsia"/>
        </w:rPr>
        <w:t>图1</w:t>
      </w:r>
      <w:r>
        <w:t xml:space="preserve"> </w:t>
      </w:r>
      <w:r>
        <w:rPr>
          <w:rFonts w:hint="eastAsia"/>
          <w:lang w:eastAsia="zh-CN"/>
        </w:rPr>
        <w:t>镁碳砖</w:t>
      </w:r>
      <w:r>
        <w:rPr>
          <w:rFonts w:hint="eastAsia"/>
        </w:rPr>
        <w:t>绿色设计产品评价流程</w:t>
      </w:r>
    </w:p>
    <w:p>
      <w:pPr>
        <w:spacing w:line="500" w:lineRule="exact"/>
        <w:ind w:firstLine="480" w:firstLineChars="200"/>
        <w:rPr>
          <w:sz w:val="24"/>
        </w:rPr>
      </w:pPr>
      <w:r>
        <w:rPr>
          <w:rFonts w:hint="eastAsia"/>
          <w:sz w:val="24"/>
        </w:rPr>
        <w:t>绿色设计产品评价主要分为指标评价和生命周期评价两部分，其中指标评价为符合性评价，产品需首先满足标准规定的基本要求和评价指标要求，在此基础上提供产品生命周期评价报告，三者同时满足，则可判定为绿色设计产品。</w:t>
      </w:r>
    </w:p>
    <w:bookmarkEnd w:id="30"/>
    <w:p>
      <w:pPr>
        <w:pStyle w:val="40"/>
        <w:spacing w:line="500" w:lineRule="exact"/>
        <w:rPr>
          <w:rFonts w:cs="Times New Roman"/>
          <w:sz w:val="24"/>
          <w:szCs w:val="24"/>
        </w:rPr>
      </w:pPr>
      <w:bookmarkStart w:id="32" w:name="_Toc66714166"/>
      <w:r>
        <w:rPr>
          <w:rFonts w:hint="eastAsia" w:cs="Times New Roman"/>
          <w:sz w:val="24"/>
          <w:szCs w:val="24"/>
        </w:rPr>
        <w:t>3</w:t>
      </w:r>
      <w:r>
        <w:rPr>
          <w:rFonts w:cs="Times New Roman"/>
          <w:sz w:val="24"/>
          <w:szCs w:val="24"/>
        </w:rPr>
        <w:t>.2.4主要技术指标</w:t>
      </w:r>
      <w:bookmarkEnd w:id="29"/>
      <w:bookmarkEnd w:id="32"/>
    </w:p>
    <w:p>
      <w:pPr>
        <w:pStyle w:val="41"/>
        <w:spacing w:line="500" w:lineRule="exact"/>
        <w:rPr>
          <w:rFonts w:ascii="Times New Roman" w:hAnsi="Times New Roman" w:cs="Times New Roman"/>
          <w:sz w:val="24"/>
          <w:szCs w:val="24"/>
        </w:rPr>
      </w:pPr>
      <w:r>
        <w:rPr>
          <w:rFonts w:ascii="Times New Roman" w:hAnsi="Times New Roman" w:cs="Times New Roman"/>
          <w:sz w:val="24"/>
          <w:szCs w:val="24"/>
        </w:rPr>
        <w:t xml:space="preserve">3.2.4.1 </w:t>
      </w:r>
      <w:r>
        <w:rPr>
          <w:rFonts w:hint="eastAsia" w:ascii="Times New Roman" w:hAnsi="Times New Roman" w:cs="Times New Roman"/>
          <w:sz w:val="24"/>
          <w:szCs w:val="24"/>
        </w:rPr>
        <w:t>基本要求</w:t>
      </w:r>
    </w:p>
    <w:p>
      <w:pPr>
        <w:spacing w:line="500" w:lineRule="exact"/>
        <w:ind w:firstLine="480" w:firstLineChars="200"/>
        <w:rPr>
          <w:sz w:val="24"/>
        </w:rPr>
      </w:pPr>
      <w:bookmarkStart w:id="33" w:name="_Hlk64723186"/>
      <w:r>
        <w:rPr>
          <w:sz w:val="24"/>
        </w:rPr>
        <w:t>首先企业需满足以下基本条件，基本要求涵盖企业污染物排放、清洁生产水平、工艺技术、管理体系、能源计量器具配置、法律法规满足程度和产品基本性能等要求，如下所示：</w:t>
      </w:r>
    </w:p>
    <w:p>
      <w:pPr>
        <w:spacing w:line="500" w:lineRule="exact"/>
        <w:ind w:firstLine="480" w:firstLineChars="200"/>
        <w:rPr>
          <w:sz w:val="24"/>
        </w:rPr>
      </w:pPr>
      <w:r>
        <w:rPr>
          <w:sz w:val="24"/>
        </w:rPr>
        <w:t>1</w:t>
      </w:r>
      <w:r>
        <w:rPr>
          <w:rFonts w:hint="eastAsia"/>
          <w:sz w:val="24"/>
        </w:rPr>
        <w:t>）</w:t>
      </w:r>
      <w:r>
        <w:rPr>
          <w:sz w:val="24"/>
        </w:rPr>
        <w:t>5</w:t>
      </w:r>
      <w:r>
        <w:rPr>
          <w:rFonts w:hint="eastAsia"/>
          <w:sz w:val="24"/>
        </w:rPr>
        <w:t>.1.1首先对生产企业合法合规性提出要求：生产企业应符合国家和地方相关环境保护法律法规，污染物排放应满足适用的国家和地方污染物排放标准要求，污染物排放总量满足排污许可证要求，近3年无重大安全、质量和环境污染事故。</w:t>
      </w:r>
    </w:p>
    <w:p>
      <w:pPr>
        <w:spacing w:line="500" w:lineRule="exact"/>
        <w:ind w:firstLine="480" w:firstLineChars="200"/>
        <w:rPr>
          <w:sz w:val="24"/>
        </w:rPr>
      </w:pPr>
      <w:r>
        <w:rPr>
          <w:sz w:val="24"/>
        </w:rPr>
        <w:t>2</w:t>
      </w:r>
      <w:r>
        <w:rPr>
          <w:rFonts w:hint="eastAsia"/>
          <w:sz w:val="24"/>
        </w:rPr>
        <w:t>）5.1.2工信部2014年提出了《耐火材料行业规范条件》，耐火材料生产企业应首先满足该规范条件要求：生产企业应满足工业和信息化部公告的《耐火材料行业规范条件（2014年本）》要求。</w:t>
      </w:r>
    </w:p>
    <w:p>
      <w:pPr>
        <w:spacing w:line="500" w:lineRule="exact"/>
        <w:ind w:firstLine="480" w:firstLineChars="200"/>
        <w:rPr>
          <w:sz w:val="24"/>
        </w:rPr>
      </w:pPr>
      <w:r>
        <w:rPr>
          <w:sz w:val="24"/>
        </w:rPr>
        <w:t>3</w:t>
      </w:r>
      <w:r>
        <w:rPr>
          <w:rFonts w:hint="eastAsia"/>
          <w:sz w:val="24"/>
        </w:rPr>
        <w:t>）5.1.3耐火材料生产过程中会产生一般固体废物和危险废物，其收集、贮存、处置应符合国家强制标准要求：一般固体废物的收集、贮存、处置应符合GB 18599的相关规定。危险废物的贮存应符合GB 18597的相关规定，工厂无法自行处理的一般工业固体废物应转交给具备相应能力的处理厂进行处理。危险废物应转交给具备相应资质的处理厂进行处理，并建立处置和转移的追溯机制。</w:t>
      </w:r>
    </w:p>
    <w:p>
      <w:pPr>
        <w:spacing w:line="500" w:lineRule="exact"/>
        <w:ind w:firstLine="480" w:firstLineChars="200"/>
        <w:rPr>
          <w:sz w:val="24"/>
        </w:rPr>
      </w:pPr>
      <w:r>
        <w:rPr>
          <w:sz w:val="24"/>
        </w:rPr>
        <w:t>4</w:t>
      </w:r>
      <w:r>
        <w:rPr>
          <w:rFonts w:hint="eastAsia"/>
          <w:sz w:val="24"/>
        </w:rPr>
        <w:t>）5.1.4从绿色发展角度出发，淘汰落后产能，优化产业结构，对企业生产技术、装备、工业提出要求：生产企业宜采用国家鼓励的先进技术工艺，不应采用如《产业结构调整指导目录（2019年本）》（2021年修改）等文件中淘汰或禁止的技术、工艺、装备及相关物质。</w:t>
      </w:r>
    </w:p>
    <w:p>
      <w:pPr>
        <w:spacing w:line="500" w:lineRule="exact"/>
        <w:ind w:firstLine="480" w:firstLineChars="200"/>
        <w:rPr>
          <w:rFonts w:hint="default" w:eastAsia="宋体"/>
          <w:sz w:val="24"/>
          <w:lang w:val="en-US" w:eastAsia="zh-CN"/>
        </w:rPr>
      </w:pPr>
      <w:r>
        <w:rPr>
          <w:sz w:val="24"/>
        </w:rPr>
        <w:t>5</w:t>
      </w:r>
      <w:r>
        <w:rPr>
          <w:rFonts w:hint="eastAsia"/>
          <w:sz w:val="24"/>
        </w:rPr>
        <w:t>）5</w:t>
      </w:r>
      <w:r>
        <w:rPr>
          <w:sz w:val="24"/>
        </w:rPr>
        <w:t>.1.5</w:t>
      </w:r>
      <w:r>
        <w:rPr>
          <w:rFonts w:hint="eastAsia"/>
          <w:sz w:val="24"/>
        </w:rPr>
        <w:t>从企业管理规范性的角度出发，生产企业应保证产品质量、生产环境、职业卫生安全、能源消耗方面的规范及有效管理：企业应按照GB/T 19001、GB/T 24001、GB/T 45001和GB/T 23331建立并有效运行质量管理体系、环境管理体系、职业健康安全管理体系和能源管理体系</w:t>
      </w:r>
      <w:r>
        <w:rPr>
          <w:rFonts w:hint="eastAsia"/>
          <w:sz w:val="24"/>
          <w:lang w:eastAsia="zh-CN"/>
        </w:rPr>
        <w:t>，</w:t>
      </w:r>
      <w:r>
        <w:rPr>
          <w:rFonts w:hint="eastAsia"/>
          <w:sz w:val="24"/>
          <w:lang w:val="en-US" w:eastAsia="zh-CN"/>
        </w:rPr>
        <w:t>且应通过第三方体系认证。</w:t>
      </w:r>
    </w:p>
    <w:p>
      <w:pPr>
        <w:spacing w:line="500" w:lineRule="exact"/>
        <w:ind w:firstLine="480" w:firstLineChars="200"/>
        <w:rPr>
          <w:sz w:val="24"/>
        </w:rPr>
      </w:pPr>
      <w:r>
        <w:rPr>
          <w:sz w:val="24"/>
        </w:rPr>
        <w:t>6</w:t>
      </w:r>
      <w:r>
        <w:rPr>
          <w:rFonts w:hint="eastAsia"/>
          <w:sz w:val="24"/>
        </w:rPr>
        <w:t>）5</w:t>
      </w:r>
      <w:r>
        <w:rPr>
          <w:sz w:val="24"/>
        </w:rPr>
        <w:t>.1.6</w:t>
      </w:r>
      <w:r>
        <w:rPr>
          <w:rFonts w:hint="eastAsia"/>
          <w:sz w:val="24"/>
        </w:rPr>
        <w:t>从绿色发展角度出发，为实现资源能源节约与环境保护，企业应依据国家强制性及推荐性标准要求，配备资源能源计量器具，对于有污染物排放的企业，应按相关要求配备污染物监测设备：生产企业应按照GB/T 24851和GB 17167配备能源计量器具，按照GB 24789配备水计量器具，并根据环保法律法规和标准要求配置污染物污染物检测和在线监测设备。</w:t>
      </w:r>
    </w:p>
    <w:p>
      <w:pPr>
        <w:spacing w:line="500" w:lineRule="exact"/>
        <w:ind w:firstLine="480" w:firstLineChars="200"/>
        <w:rPr>
          <w:sz w:val="24"/>
        </w:rPr>
      </w:pPr>
      <w:r>
        <w:rPr>
          <w:sz w:val="24"/>
        </w:rPr>
        <w:t>7</w:t>
      </w:r>
      <w:r>
        <w:rPr>
          <w:rFonts w:hint="eastAsia"/>
          <w:sz w:val="24"/>
        </w:rPr>
        <w:t>）5.1.7绿色设计产品在实现环保设计绿色设计的同时，产品性能应满足相关标准要求：产品基本性能应符合GB/T 22589、T/ACRI 0009、T/ACRI 0010、T/ACRI 0011等国家、行业或团体标准要求</w:t>
      </w:r>
      <w:r>
        <w:rPr>
          <w:rFonts w:hint="eastAsia"/>
          <w:sz w:val="24"/>
          <w:lang w:eastAsia="zh-CN"/>
        </w:rPr>
        <w:t>，</w:t>
      </w:r>
      <w:r>
        <w:rPr>
          <w:rFonts w:hint="eastAsia"/>
          <w:sz w:val="24"/>
          <w:lang w:val="en-US" w:eastAsia="zh-CN"/>
        </w:rPr>
        <w:t>同时考虑到耐火材料产品的定制化需求，也可以供需双方约定的使用要求作为考核要求</w:t>
      </w:r>
      <w:r>
        <w:rPr>
          <w:rFonts w:hint="eastAsia"/>
          <w:sz w:val="24"/>
        </w:rPr>
        <w:t>。</w:t>
      </w:r>
    </w:p>
    <w:bookmarkEnd w:id="33"/>
    <w:p>
      <w:pPr>
        <w:pStyle w:val="41"/>
        <w:spacing w:line="500" w:lineRule="exact"/>
        <w:rPr>
          <w:rFonts w:ascii="Times New Roman" w:hAnsi="Times New Roman" w:cs="Times New Roman"/>
          <w:sz w:val="24"/>
          <w:szCs w:val="24"/>
        </w:rPr>
      </w:pPr>
      <w:r>
        <w:rPr>
          <w:rFonts w:ascii="Times New Roman" w:hAnsi="Times New Roman" w:cs="Times New Roman"/>
          <w:sz w:val="24"/>
          <w:szCs w:val="24"/>
        </w:rPr>
        <w:t>3.2.4.2 资源属性</w:t>
      </w:r>
    </w:p>
    <w:p>
      <w:pPr>
        <w:spacing w:line="500" w:lineRule="exact"/>
        <w:ind w:firstLine="480" w:firstLineChars="200"/>
        <w:rPr>
          <w:sz w:val="24"/>
        </w:rPr>
      </w:pPr>
      <w:r>
        <w:rPr>
          <w:rFonts w:hint="eastAsia"/>
          <w:sz w:val="24"/>
        </w:rPr>
        <w:t>资源属性从</w:t>
      </w:r>
      <w:r>
        <w:rPr>
          <w:sz w:val="24"/>
        </w:rPr>
        <w:t>生产过程产生的固体废弃物的回收利用率</w:t>
      </w:r>
      <w:r>
        <w:rPr>
          <w:rFonts w:hint="eastAsia"/>
          <w:sz w:val="24"/>
        </w:rPr>
        <w:t>、生产废水回收利用率方面提出指标要求，具体见下表。</w:t>
      </w:r>
    </w:p>
    <w:p>
      <w:pPr>
        <w:spacing w:line="500" w:lineRule="exact"/>
        <w:ind w:firstLine="480" w:firstLineChars="200"/>
        <w:jc w:val="center"/>
        <w:rPr>
          <w:color w:val="000000"/>
          <w:sz w:val="24"/>
        </w:rPr>
      </w:pPr>
      <w:r>
        <w:rPr>
          <w:rFonts w:hint="eastAsia"/>
          <w:color w:val="000000"/>
          <w:sz w:val="24"/>
        </w:rPr>
        <w:t>表3-1</w:t>
      </w:r>
      <w:r>
        <w:rPr>
          <w:color w:val="000000"/>
          <w:sz w:val="24"/>
        </w:rPr>
        <w:t xml:space="preserve"> </w:t>
      </w:r>
      <w:r>
        <w:rPr>
          <w:rFonts w:hint="eastAsia"/>
          <w:color w:val="000000"/>
          <w:sz w:val="24"/>
        </w:rPr>
        <w:t>资源属性相关指标</w:t>
      </w:r>
    </w:p>
    <w:tbl>
      <w:tblPr>
        <w:tblStyle w:val="24"/>
        <w:tblW w:w="4752"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75"/>
        <w:gridCol w:w="2671"/>
        <w:gridCol w:w="799"/>
        <w:gridCol w:w="963"/>
        <w:gridCol w:w="2299"/>
        <w:gridCol w:w="110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6" w:hRule="atLeast"/>
          <w:jc w:val="center"/>
        </w:trPr>
        <w:tc>
          <w:tcPr>
            <w:tcW w:w="449" w:type="pct"/>
            <w:vAlign w:val="center"/>
          </w:tcPr>
          <w:p>
            <w:pPr>
              <w:spacing w:line="276" w:lineRule="auto"/>
              <w:jc w:val="center"/>
              <w:rPr>
                <w:color w:val="000000"/>
                <w:sz w:val="22"/>
                <w:szCs w:val="22"/>
              </w:rPr>
            </w:pPr>
            <w:bookmarkStart w:id="34" w:name="_Hlk46234075"/>
            <w:r>
              <w:rPr>
                <w:rFonts w:hint="eastAsia"/>
                <w:color w:val="000000"/>
                <w:sz w:val="22"/>
                <w:szCs w:val="22"/>
              </w:rPr>
              <w:t>一级指标</w:t>
            </w:r>
          </w:p>
        </w:tc>
        <w:tc>
          <w:tcPr>
            <w:tcW w:w="1550" w:type="pct"/>
            <w:vAlign w:val="center"/>
          </w:tcPr>
          <w:p>
            <w:pPr>
              <w:spacing w:line="276" w:lineRule="auto"/>
              <w:jc w:val="center"/>
              <w:rPr>
                <w:color w:val="000000"/>
                <w:sz w:val="22"/>
                <w:szCs w:val="22"/>
              </w:rPr>
            </w:pPr>
            <w:r>
              <w:rPr>
                <w:rFonts w:hint="eastAsia"/>
                <w:color w:val="000000"/>
                <w:sz w:val="22"/>
                <w:szCs w:val="22"/>
              </w:rPr>
              <w:t>二级指标</w:t>
            </w:r>
          </w:p>
        </w:tc>
        <w:tc>
          <w:tcPr>
            <w:tcW w:w="463" w:type="pct"/>
            <w:vAlign w:val="center"/>
          </w:tcPr>
          <w:p>
            <w:pPr>
              <w:spacing w:line="276" w:lineRule="auto"/>
              <w:jc w:val="center"/>
              <w:rPr>
                <w:color w:val="000000"/>
                <w:sz w:val="22"/>
                <w:szCs w:val="22"/>
              </w:rPr>
            </w:pPr>
            <w:r>
              <w:rPr>
                <w:rFonts w:hint="eastAsia"/>
                <w:color w:val="000000"/>
                <w:sz w:val="22"/>
                <w:szCs w:val="22"/>
              </w:rPr>
              <w:t>单位</w:t>
            </w:r>
          </w:p>
        </w:tc>
        <w:tc>
          <w:tcPr>
            <w:tcW w:w="559" w:type="pct"/>
            <w:vAlign w:val="center"/>
          </w:tcPr>
          <w:p>
            <w:pPr>
              <w:spacing w:line="276" w:lineRule="auto"/>
              <w:jc w:val="center"/>
              <w:rPr>
                <w:color w:val="000000"/>
                <w:sz w:val="22"/>
                <w:szCs w:val="22"/>
              </w:rPr>
            </w:pPr>
            <w:r>
              <w:rPr>
                <w:rFonts w:hint="eastAsia"/>
                <w:color w:val="000000"/>
                <w:sz w:val="22"/>
                <w:szCs w:val="22"/>
              </w:rPr>
              <w:t>基准值</w:t>
            </w:r>
          </w:p>
        </w:tc>
        <w:tc>
          <w:tcPr>
            <w:tcW w:w="1334" w:type="pct"/>
            <w:vAlign w:val="center"/>
          </w:tcPr>
          <w:p>
            <w:pPr>
              <w:spacing w:line="276" w:lineRule="auto"/>
              <w:jc w:val="center"/>
              <w:rPr>
                <w:color w:val="000000"/>
                <w:sz w:val="22"/>
                <w:szCs w:val="22"/>
              </w:rPr>
            </w:pPr>
            <w:r>
              <w:rPr>
                <w:rFonts w:hint="eastAsia"/>
                <w:color w:val="000000"/>
                <w:sz w:val="22"/>
                <w:szCs w:val="22"/>
              </w:rPr>
              <w:t>判定依据</w:t>
            </w:r>
          </w:p>
        </w:tc>
        <w:tc>
          <w:tcPr>
            <w:tcW w:w="641" w:type="pct"/>
          </w:tcPr>
          <w:p>
            <w:pPr>
              <w:spacing w:line="276" w:lineRule="auto"/>
              <w:jc w:val="center"/>
              <w:rPr>
                <w:color w:val="000000"/>
                <w:sz w:val="22"/>
                <w:szCs w:val="22"/>
              </w:rPr>
            </w:pPr>
            <w:r>
              <w:rPr>
                <w:rFonts w:hint="eastAsia"/>
                <w:color w:val="000000"/>
                <w:sz w:val="22"/>
                <w:szCs w:val="22"/>
              </w:rPr>
              <w:t>所属生命周期阶段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5" w:hRule="atLeast"/>
          <w:jc w:val="center"/>
        </w:trPr>
        <w:tc>
          <w:tcPr>
            <w:tcW w:w="449" w:type="pct"/>
            <w:vMerge w:val="restart"/>
            <w:vAlign w:val="center"/>
          </w:tcPr>
          <w:p>
            <w:pPr>
              <w:spacing w:line="276" w:lineRule="auto"/>
              <w:jc w:val="center"/>
              <w:rPr>
                <w:color w:val="000000"/>
                <w:sz w:val="22"/>
                <w:szCs w:val="22"/>
              </w:rPr>
            </w:pPr>
            <w:r>
              <w:rPr>
                <w:rFonts w:hint="eastAsia"/>
                <w:color w:val="000000"/>
                <w:sz w:val="22"/>
                <w:szCs w:val="22"/>
              </w:rPr>
              <w:t>资源属性</w:t>
            </w:r>
          </w:p>
        </w:tc>
        <w:tc>
          <w:tcPr>
            <w:tcW w:w="1550" w:type="pct"/>
            <w:vAlign w:val="center"/>
          </w:tcPr>
          <w:p>
            <w:pPr>
              <w:spacing w:line="276" w:lineRule="auto"/>
              <w:jc w:val="center"/>
              <w:rPr>
                <w:rFonts w:hint="eastAsia"/>
                <w:color w:val="000000"/>
                <w:sz w:val="22"/>
                <w:szCs w:val="22"/>
              </w:rPr>
            </w:pPr>
            <w:r>
              <w:rPr>
                <w:rFonts w:hint="eastAsia"/>
                <w:color w:val="000000"/>
                <w:sz w:val="22"/>
                <w:szCs w:val="22"/>
                <w:lang w:val="en-US" w:eastAsia="zh-CN"/>
              </w:rPr>
              <w:t>不合格产品</w:t>
            </w:r>
            <w:r>
              <w:rPr>
                <w:rFonts w:hint="eastAsia"/>
                <w:color w:val="000000"/>
                <w:sz w:val="22"/>
                <w:szCs w:val="22"/>
              </w:rPr>
              <w:t>回收利用率</w:t>
            </w:r>
          </w:p>
        </w:tc>
        <w:tc>
          <w:tcPr>
            <w:tcW w:w="463" w:type="pct"/>
            <w:vAlign w:val="center"/>
          </w:tcPr>
          <w:p>
            <w:pPr>
              <w:spacing w:line="276" w:lineRule="auto"/>
              <w:jc w:val="center"/>
              <w:rPr>
                <w:color w:val="000000"/>
                <w:sz w:val="22"/>
                <w:szCs w:val="22"/>
              </w:rPr>
            </w:pPr>
            <w:r>
              <w:rPr>
                <w:rFonts w:hint="eastAsia"/>
                <w:color w:val="000000"/>
                <w:sz w:val="22"/>
                <w:szCs w:val="22"/>
              </w:rPr>
              <w:t>%</w:t>
            </w:r>
          </w:p>
        </w:tc>
        <w:tc>
          <w:tcPr>
            <w:tcW w:w="559" w:type="pct"/>
            <w:vAlign w:val="center"/>
          </w:tcPr>
          <w:p>
            <w:pPr>
              <w:spacing w:line="276" w:lineRule="auto"/>
              <w:jc w:val="center"/>
              <w:rPr>
                <w:rFonts w:hint="eastAsia" w:eastAsia="宋体"/>
                <w:color w:val="000000"/>
                <w:sz w:val="22"/>
                <w:szCs w:val="22"/>
                <w:lang w:eastAsia="zh-CN"/>
              </w:rPr>
            </w:pPr>
            <w:r>
              <w:rPr>
                <w:rFonts w:hint="eastAsia"/>
                <w:color w:val="000000"/>
                <w:sz w:val="22"/>
                <w:szCs w:val="22"/>
              </w:rPr>
              <w:t>≥9</w:t>
            </w:r>
            <w:r>
              <w:rPr>
                <w:rFonts w:hint="eastAsia"/>
                <w:color w:val="000000"/>
                <w:sz w:val="22"/>
                <w:szCs w:val="22"/>
                <w:lang w:val="en-US" w:eastAsia="zh-CN"/>
              </w:rPr>
              <w:t>6</w:t>
            </w:r>
          </w:p>
        </w:tc>
        <w:tc>
          <w:tcPr>
            <w:tcW w:w="1334" w:type="pct"/>
            <w:vAlign w:val="center"/>
          </w:tcPr>
          <w:p>
            <w:pPr>
              <w:spacing w:line="276" w:lineRule="auto"/>
              <w:jc w:val="center"/>
              <w:rPr>
                <w:color w:val="000000"/>
                <w:sz w:val="22"/>
                <w:szCs w:val="22"/>
              </w:rPr>
            </w:pPr>
            <w:r>
              <w:rPr>
                <w:color w:val="000000"/>
                <w:sz w:val="22"/>
                <w:szCs w:val="22"/>
              </w:rPr>
              <w:t>依据A.1计算</w:t>
            </w:r>
          </w:p>
        </w:tc>
        <w:tc>
          <w:tcPr>
            <w:tcW w:w="641" w:type="pct"/>
            <w:vAlign w:val="center"/>
          </w:tcPr>
          <w:p>
            <w:pPr>
              <w:spacing w:line="276" w:lineRule="auto"/>
              <w:jc w:val="center"/>
              <w:rPr>
                <w:b/>
                <w:bCs/>
                <w:color w:val="000000"/>
                <w:sz w:val="22"/>
                <w:szCs w:val="22"/>
              </w:rPr>
            </w:pPr>
            <w:r>
              <w:rPr>
                <w:color w:val="000000"/>
                <w:sz w:val="22"/>
                <w:szCs w:val="22"/>
              </w:rPr>
              <w:t>产品生产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 w:hRule="atLeast"/>
          <w:jc w:val="center"/>
        </w:trPr>
        <w:tc>
          <w:tcPr>
            <w:tcW w:w="449" w:type="pct"/>
            <w:vMerge w:val="continue"/>
            <w:vAlign w:val="center"/>
          </w:tcPr>
          <w:p>
            <w:pPr>
              <w:spacing w:line="276" w:lineRule="auto"/>
              <w:jc w:val="center"/>
              <w:rPr>
                <w:color w:val="000000"/>
                <w:sz w:val="22"/>
                <w:szCs w:val="22"/>
              </w:rPr>
            </w:pPr>
          </w:p>
        </w:tc>
        <w:tc>
          <w:tcPr>
            <w:tcW w:w="1550" w:type="pct"/>
            <w:vAlign w:val="top"/>
          </w:tcPr>
          <w:p>
            <w:pPr>
              <w:spacing w:line="276" w:lineRule="auto"/>
              <w:jc w:val="center"/>
              <w:rPr>
                <w:rFonts w:hint="eastAsia"/>
                <w:color w:val="000000"/>
                <w:sz w:val="22"/>
                <w:szCs w:val="22"/>
              </w:rPr>
            </w:pPr>
            <w:r>
              <w:rPr>
                <w:rFonts w:hint="eastAsia"/>
                <w:color w:val="000000"/>
                <w:sz w:val="22"/>
                <w:szCs w:val="22"/>
              </w:rPr>
              <w:t>工业废水回收利用率</w:t>
            </w:r>
          </w:p>
        </w:tc>
        <w:tc>
          <w:tcPr>
            <w:tcW w:w="463" w:type="pct"/>
            <w:vAlign w:val="center"/>
          </w:tcPr>
          <w:p>
            <w:pPr>
              <w:spacing w:line="276" w:lineRule="auto"/>
              <w:jc w:val="center"/>
              <w:rPr>
                <w:color w:val="000000"/>
                <w:sz w:val="22"/>
                <w:szCs w:val="22"/>
              </w:rPr>
            </w:pPr>
            <w:r>
              <w:rPr>
                <w:rFonts w:hint="eastAsia"/>
                <w:color w:val="000000"/>
                <w:sz w:val="22"/>
                <w:szCs w:val="22"/>
              </w:rPr>
              <w:t>%</w:t>
            </w:r>
          </w:p>
        </w:tc>
        <w:tc>
          <w:tcPr>
            <w:tcW w:w="559" w:type="pct"/>
            <w:vAlign w:val="center"/>
          </w:tcPr>
          <w:p>
            <w:pPr>
              <w:spacing w:line="276" w:lineRule="auto"/>
              <w:jc w:val="center"/>
              <w:rPr>
                <w:color w:val="000000"/>
                <w:sz w:val="22"/>
                <w:szCs w:val="22"/>
              </w:rPr>
            </w:pPr>
            <w:r>
              <w:rPr>
                <w:rFonts w:hint="eastAsia"/>
                <w:color w:val="000000"/>
                <w:sz w:val="22"/>
                <w:szCs w:val="22"/>
              </w:rPr>
              <w:t>100</w:t>
            </w:r>
          </w:p>
        </w:tc>
        <w:tc>
          <w:tcPr>
            <w:tcW w:w="1334" w:type="pct"/>
            <w:vAlign w:val="center"/>
          </w:tcPr>
          <w:p>
            <w:pPr>
              <w:spacing w:line="276" w:lineRule="auto"/>
              <w:jc w:val="center"/>
              <w:rPr>
                <w:color w:val="000000"/>
                <w:sz w:val="22"/>
                <w:szCs w:val="22"/>
              </w:rPr>
            </w:pPr>
            <w:r>
              <w:rPr>
                <w:color w:val="000000"/>
                <w:sz w:val="22"/>
                <w:szCs w:val="22"/>
              </w:rPr>
              <w:t>依据A.2计算</w:t>
            </w:r>
          </w:p>
        </w:tc>
        <w:tc>
          <w:tcPr>
            <w:tcW w:w="641" w:type="pct"/>
            <w:vAlign w:val="center"/>
          </w:tcPr>
          <w:p>
            <w:pPr>
              <w:spacing w:line="276" w:lineRule="auto"/>
              <w:jc w:val="center"/>
              <w:rPr>
                <w:b/>
                <w:bCs/>
                <w:color w:val="000000"/>
                <w:sz w:val="22"/>
                <w:szCs w:val="22"/>
              </w:rPr>
            </w:pPr>
            <w:r>
              <w:rPr>
                <w:color w:val="000000"/>
                <w:sz w:val="22"/>
                <w:szCs w:val="22"/>
              </w:rPr>
              <w:t>产品生产</w:t>
            </w:r>
          </w:p>
        </w:tc>
      </w:tr>
    </w:tbl>
    <w:p>
      <w:pPr>
        <w:spacing w:line="500" w:lineRule="exact"/>
        <w:ind w:firstLine="480" w:firstLineChars="200"/>
        <w:rPr>
          <w:color w:val="000000"/>
          <w:sz w:val="24"/>
        </w:rPr>
      </w:pPr>
      <w:r>
        <w:rPr>
          <w:rFonts w:hint="eastAsia"/>
          <w:color w:val="000000"/>
          <w:sz w:val="24"/>
        </w:rPr>
        <w:t>本标准主要涉及产品的资源属性问题主要是生产过程产生的</w:t>
      </w:r>
      <w:r>
        <w:rPr>
          <w:rFonts w:hint="eastAsia"/>
          <w:color w:val="000000"/>
          <w:sz w:val="24"/>
          <w:lang w:val="en-US" w:eastAsia="zh-CN"/>
        </w:rPr>
        <w:t>不合格产品</w:t>
      </w:r>
      <w:r>
        <w:rPr>
          <w:rFonts w:hint="eastAsia"/>
          <w:color w:val="000000"/>
          <w:sz w:val="24"/>
        </w:rPr>
        <w:t>回收利用率及生产废水回收利用率。这两方面内容涵盖了耐火材料生产的两种主要的资源，即生产原料和水资源，可以科学的评价产品的资源属性。</w:t>
      </w:r>
    </w:p>
    <w:p>
      <w:pPr>
        <w:spacing w:line="500" w:lineRule="exact"/>
        <w:ind w:firstLine="480" w:firstLineChars="200"/>
        <w:rPr>
          <w:color w:val="000000"/>
          <w:sz w:val="24"/>
        </w:rPr>
      </w:pPr>
      <w:r>
        <w:rPr>
          <w:rFonts w:hint="eastAsia"/>
          <w:color w:val="000000"/>
          <w:sz w:val="24"/>
        </w:rPr>
        <w:t>对于耐火材料生产而言，生产不合格品往往是指在成型、干燥过程中出现瑕疵、尺寸偏差等问题的半成品，或在烧成后出现尺寸不符合生产标准的成品。耐火材料最重要的属性是耐高温性能，而耐高温性能是由产品的化学组成决定的，虽然生产的不合格半成品、成品在外观、物理性能上有瑕疵，但是其化学组成满足产品的设计要求，因而都能作为产品的原料继续使用。经调研，发现在本方面，企业出于资源综合利用和节约成本的考虑，多数都会将其经过处理后，以合理的工艺投入再生产，且普遍</w:t>
      </w:r>
      <w:r>
        <w:rPr>
          <w:rFonts w:hint="eastAsia"/>
          <w:color w:val="000000"/>
          <w:sz w:val="24"/>
          <w:lang w:val="en-US" w:eastAsia="zh-CN"/>
        </w:rPr>
        <w:t>可实现全部回用</w:t>
      </w:r>
      <w:r>
        <w:rPr>
          <w:rFonts w:hint="eastAsia"/>
          <w:color w:val="000000"/>
          <w:sz w:val="24"/>
        </w:rPr>
        <w:t>，但考虑到企业</w:t>
      </w:r>
      <w:r>
        <w:rPr>
          <w:rFonts w:hint="eastAsia"/>
          <w:color w:val="000000"/>
          <w:sz w:val="24"/>
          <w:lang w:val="en-US" w:eastAsia="zh-CN"/>
        </w:rPr>
        <w:t>在不合格品贮存过程中可能会产生部分损失</w:t>
      </w:r>
      <w:r>
        <w:rPr>
          <w:rFonts w:hint="eastAsia"/>
          <w:color w:val="000000"/>
          <w:sz w:val="24"/>
        </w:rPr>
        <w:t>及少量固体废物可能收到环境污染无法回用等方面，将该指标要求基准值设置为9</w:t>
      </w:r>
      <w:r>
        <w:rPr>
          <w:rFonts w:hint="eastAsia"/>
          <w:color w:val="000000"/>
          <w:sz w:val="24"/>
          <w:lang w:val="en-US" w:eastAsia="zh-CN"/>
        </w:rPr>
        <w:t>6</w:t>
      </w:r>
      <w:r>
        <w:rPr>
          <w:rFonts w:hint="eastAsia"/>
          <w:color w:val="000000"/>
          <w:sz w:val="24"/>
        </w:rPr>
        <w:t>%。</w:t>
      </w:r>
    </w:p>
    <w:p>
      <w:pPr>
        <w:spacing w:line="500" w:lineRule="exact"/>
        <w:ind w:firstLine="480" w:firstLineChars="200"/>
        <w:rPr>
          <w:color w:val="000000"/>
          <w:sz w:val="24"/>
        </w:rPr>
      </w:pPr>
      <w:r>
        <w:rPr>
          <w:rFonts w:hint="eastAsia"/>
          <w:color w:val="000000"/>
          <w:sz w:val="24"/>
        </w:rPr>
        <w:t>生产废水回收利用率方面，耐火材料生产企业涉及的用水量较少，工业用水大部分为循环冷却水，产生的工业废水较少。经调研，目前</w:t>
      </w:r>
      <w:r>
        <w:rPr>
          <w:rFonts w:hint="eastAsia"/>
          <w:color w:val="000000"/>
          <w:sz w:val="24"/>
          <w:lang w:eastAsia="zh-CN"/>
        </w:rPr>
        <w:t>镁碳砖</w:t>
      </w:r>
      <w:r>
        <w:rPr>
          <w:rFonts w:hint="eastAsia"/>
          <w:color w:val="000000"/>
          <w:sz w:val="24"/>
        </w:rPr>
        <w:t>生产企业对产生的工业废水均实现处理后回用，无废水外</w:t>
      </w:r>
      <w:r>
        <w:rPr>
          <w:rFonts w:hint="eastAsia"/>
          <w:color w:val="000000"/>
          <w:sz w:val="24"/>
          <w:lang w:val="en-US" w:eastAsia="zh-CN"/>
        </w:rPr>
        <w:t>排</w:t>
      </w:r>
      <w:r>
        <w:rPr>
          <w:rFonts w:hint="eastAsia"/>
          <w:color w:val="000000"/>
          <w:sz w:val="24"/>
        </w:rPr>
        <w:t>迹象，工业废水回用率均可达到100%，因此该指标要求企业工业废水回收利用率基准值设置为100%。</w:t>
      </w:r>
    </w:p>
    <w:bookmarkEnd w:id="34"/>
    <w:p>
      <w:pPr>
        <w:pStyle w:val="41"/>
        <w:spacing w:line="500" w:lineRule="exact"/>
        <w:rPr>
          <w:rFonts w:ascii="Times New Roman" w:hAnsi="Times New Roman" w:cs="Times New Roman"/>
          <w:sz w:val="24"/>
          <w:szCs w:val="24"/>
        </w:rPr>
      </w:pPr>
      <w:bookmarkStart w:id="35" w:name="_Hlk46234264"/>
      <w:r>
        <w:rPr>
          <w:rFonts w:hint="eastAsia" w:ascii="Times New Roman" w:hAnsi="Times New Roman" w:cs="Times New Roman"/>
          <w:sz w:val="24"/>
          <w:szCs w:val="24"/>
        </w:rPr>
        <w:t>3.2.</w:t>
      </w:r>
      <w:r>
        <w:rPr>
          <w:rFonts w:ascii="Times New Roman" w:hAnsi="Times New Roman" w:cs="Times New Roman"/>
          <w:sz w:val="24"/>
          <w:szCs w:val="24"/>
        </w:rPr>
        <w:t>4</w:t>
      </w:r>
      <w:r>
        <w:rPr>
          <w:rFonts w:hint="eastAsia" w:ascii="Times New Roman" w:hAnsi="Times New Roman" w:cs="Times New Roman"/>
          <w:sz w:val="24"/>
          <w:szCs w:val="24"/>
        </w:rPr>
        <w:t>.3 能源属性</w:t>
      </w:r>
    </w:p>
    <w:p>
      <w:pPr>
        <w:spacing w:line="500" w:lineRule="exact"/>
        <w:ind w:firstLine="480" w:firstLineChars="200"/>
        <w:rPr>
          <w:sz w:val="24"/>
        </w:rPr>
      </w:pPr>
      <w:r>
        <w:rPr>
          <w:rFonts w:hint="eastAsia"/>
          <w:sz w:val="24"/>
        </w:rPr>
        <w:t>能源属性从</w:t>
      </w:r>
      <w:r>
        <w:rPr>
          <w:color w:val="000000" w:themeColor="text1"/>
          <w:sz w:val="24"/>
          <w14:textFill>
            <w14:solidFill>
              <w14:schemeClr w14:val="tx1"/>
            </w14:solidFill>
          </w14:textFill>
        </w:rPr>
        <w:t>单位产品综合能耗</w:t>
      </w:r>
      <w:r>
        <w:rPr>
          <w:rFonts w:hint="eastAsia"/>
          <w:sz w:val="24"/>
        </w:rPr>
        <w:t>提出指标要求，具体见下表。</w:t>
      </w:r>
    </w:p>
    <w:bookmarkEnd w:id="35"/>
    <w:p>
      <w:pPr>
        <w:spacing w:line="500" w:lineRule="exact"/>
        <w:ind w:firstLine="480" w:firstLineChars="200"/>
        <w:jc w:val="center"/>
        <w:rPr>
          <w:sz w:val="24"/>
        </w:rPr>
      </w:pPr>
      <w:r>
        <w:rPr>
          <w:rFonts w:hint="eastAsia"/>
          <w:sz w:val="24"/>
        </w:rPr>
        <w:t>表3-2能源属性相关指标</w:t>
      </w:r>
    </w:p>
    <w:tbl>
      <w:tblPr>
        <w:tblStyle w:val="24"/>
        <w:tblW w:w="4753"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5"/>
        <w:gridCol w:w="791"/>
        <w:gridCol w:w="1479"/>
        <w:gridCol w:w="807"/>
        <w:gridCol w:w="950"/>
        <w:gridCol w:w="2456"/>
        <w:gridCol w:w="11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6" w:hRule="atLeast"/>
          <w:jc w:val="center"/>
        </w:trPr>
        <w:tc>
          <w:tcPr>
            <w:tcW w:w="542" w:type="pct"/>
            <w:vAlign w:val="center"/>
          </w:tcPr>
          <w:p>
            <w:pPr>
              <w:spacing w:line="276" w:lineRule="auto"/>
              <w:jc w:val="center"/>
              <w:rPr>
                <w:color w:val="000000"/>
                <w:sz w:val="22"/>
                <w:szCs w:val="22"/>
              </w:rPr>
            </w:pPr>
            <w:bookmarkStart w:id="36" w:name="_Hlk46234380"/>
            <w:r>
              <w:rPr>
                <w:rFonts w:hint="eastAsia"/>
                <w:color w:val="000000"/>
                <w:sz w:val="22"/>
                <w:szCs w:val="22"/>
              </w:rPr>
              <w:t>一级指标</w:t>
            </w:r>
          </w:p>
        </w:tc>
        <w:tc>
          <w:tcPr>
            <w:tcW w:w="1317" w:type="pct"/>
            <w:gridSpan w:val="2"/>
            <w:vAlign w:val="center"/>
          </w:tcPr>
          <w:p>
            <w:pPr>
              <w:spacing w:line="276" w:lineRule="auto"/>
              <w:jc w:val="center"/>
              <w:rPr>
                <w:color w:val="000000"/>
                <w:sz w:val="22"/>
                <w:szCs w:val="22"/>
              </w:rPr>
            </w:pPr>
            <w:r>
              <w:rPr>
                <w:rFonts w:hint="eastAsia"/>
                <w:color w:val="000000"/>
                <w:sz w:val="22"/>
                <w:szCs w:val="22"/>
              </w:rPr>
              <w:t>二级指标</w:t>
            </w:r>
          </w:p>
        </w:tc>
        <w:tc>
          <w:tcPr>
            <w:tcW w:w="468" w:type="pct"/>
            <w:vAlign w:val="center"/>
          </w:tcPr>
          <w:p>
            <w:pPr>
              <w:spacing w:line="276" w:lineRule="auto"/>
              <w:jc w:val="center"/>
              <w:rPr>
                <w:color w:val="000000"/>
                <w:sz w:val="22"/>
                <w:szCs w:val="22"/>
              </w:rPr>
            </w:pPr>
            <w:r>
              <w:rPr>
                <w:rFonts w:hint="eastAsia"/>
                <w:color w:val="000000"/>
                <w:sz w:val="22"/>
                <w:szCs w:val="22"/>
              </w:rPr>
              <w:t>单位</w:t>
            </w:r>
          </w:p>
        </w:tc>
        <w:tc>
          <w:tcPr>
            <w:tcW w:w="551" w:type="pct"/>
            <w:vAlign w:val="center"/>
          </w:tcPr>
          <w:p>
            <w:pPr>
              <w:spacing w:line="276" w:lineRule="auto"/>
              <w:jc w:val="center"/>
              <w:rPr>
                <w:color w:val="000000"/>
                <w:sz w:val="22"/>
                <w:szCs w:val="22"/>
              </w:rPr>
            </w:pPr>
            <w:r>
              <w:rPr>
                <w:rFonts w:hint="eastAsia"/>
                <w:color w:val="000000"/>
                <w:sz w:val="22"/>
                <w:szCs w:val="22"/>
              </w:rPr>
              <w:t>基准值</w:t>
            </w:r>
          </w:p>
        </w:tc>
        <w:tc>
          <w:tcPr>
            <w:tcW w:w="1425" w:type="pct"/>
            <w:vAlign w:val="center"/>
          </w:tcPr>
          <w:p>
            <w:pPr>
              <w:spacing w:line="276" w:lineRule="auto"/>
              <w:jc w:val="center"/>
              <w:rPr>
                <w:color w:val="000000"/>
                <w:sz w:val="22"/>
                <w:szCs w:val="22"/>
              </w:rPr>
            </w:pPr>
            <w:r>
              <w:rPr>
                <w:rFonts w:hint="eastAsia"/>
                <w:color w:val="000000"/>
                <w:sz w:val="22"/>
                <w:szCs w:val="22"/>
              </w:rPr>
              <w:t>判定依据</w:t>
            </w:r>
          </w:p>
        </w:tc>
        <w:tc>
          <w:tcPr>
            <w:tcW w:w="693" w:type="pct"/>
          </w:tcPr>
          <w:p>
            <w:pPr>
              <w:spacing w:line="276" w:lineRule="auto"/>
              <w:jc w:val="center"/>
              <w:rPr>
                <w:color w:val="000000"/>
                <w:sz w:val="22"/>
                <w:szCs w:val="22"/>
              </w:rPr>
            </w:pPr>
            <w:r>
              <w:rPr>
                <w:rFonts w:hint="eastAsia"/>
                <w:color w:val="000000"/>
                <w:sz w:val="22"/>
                <w:szCs w:val="22"/>
              </w:rPr>
              <w:t>所属生命周期阶段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5" w:hRule="atLeast"/>
          <w:jc w:val="center"/>
        </w:trPr>
        <w:tc>
          <w:tcPr>
            <w:tcW w:w="542" w:type="pct"/>
            <w:vMerge w:val="restart"/>
            <w:vAlign w:val="center"/>
          </w:tcPr>
          <w:p>
            <w:pPr>
              <w:spacing w:line="276" w:lineRule="auto"/>
              <w:jc w:val="center"/>
              <w:rPr>
                <w:color w:val="000000"/>
                <w:sz w:val="22"/>
                <w:szCs w:val="22"/>
              </w:rPr>
            </w:pPr>
            <w:r>
              <w:rPr>
                <w:rFonts w:hint="eastAsia"/>
                <w:color w:val="000000"/>
                <w:sz w:val="22"/>
                <w:szCs w:val="22"/>
              </w:rPr>
              <w:t>能源属性</w:t>
            </w:r>
          </w:p>
        </w:tc>
        <w:tc>
          <w:tcPr>
            <w:tcW w:w="459" w:type="pct"/>
            <w:vMerge w:val="restart"/>
            <w:vAlign w:val="center"/>
          </w:tcPr>
          <w:p>
            <w:pPr>
              <w:spacing w:line="276" w:lineRule="auto"/>
              <w:jc w:val="center"/>
              <w:rPr>
                <w:color w:val="000000"/>
                <w:sz w:val="22"/>
                <w:szCs w:val="22"/>
              </w:rPr>
            </w:pPr>
            <w:r>
              <w:rPr>
                <w:color w:val="000000"/>
                <w:sz w:val="22"/>
                <w:szCs w:val="22"/>
              </w:rPr>
              <w:t>单位产品能耗</w:t>
            </w:r>
          </w:p>
        </w:tc>
        <w:tc>
          <w:tcPr>
            <w:tcW w:w="858" w:type="pct"/>
            <w:vAlign w:val="center"/>
          </w:tcPr>
          <w:p>
            <w:pPr>
              <w:spacing w:line="276" w:lineRule="auto"/>
              <w:jc w:val="center"/>
              <w:rPr>
                <w:color w:val="000000"/>
                <w:sz w:val="22"/>
                <w:szCs w:val="22"/>
              </w:rPr>
            </w:pPr>
            <w:r>
              <w:rPr>
                <w:rFonts w:hint="eastAsia"/>
                <w:color w:val="auto"/>
                <w:sz w:val="22"/>
                <w:szCs w:val="22"/>
                <w:highlight w:val="none"/>
                <w:lang w:val="en-US" w:eastAsia="zh-CN"/>
              </w:rPr>
              <w:t>未实现全流程自动化</w:t>
            </w:r>
          </w:p>
        </w:tc>
        <w:tc>
          <w:tcPr>
            <w:tcW w:w="468" w:type="pct"/>
            <w:vMerge w:val="restart"/>
            <w:vAlign w:val="center"/>
          </w:tcPr>
          <w:p>
            <w:pPr>
              <w:spacing w:line="276" w:lineRule="auto"/>
              <w:jc w:val="center"/>
              <w:rPr>
                <w:color w:val="000000"/>
                <w:sz w:val="22"/>
                <w:szCs w:val="22"/>
              </w:rPr>
            </w:pPr>
            <w:r>
              <w:rPr>
                <w:rFonts w:hint="eastAsia"/>
                <w:color w:val="000000"/>
                <w:sz w:val="22"/>
                <w:szCs w:val="22"/>
                <w:lang w:val="en-US" w:eastAsia="zh-CN"/>
              </w:rPr>
              <w:t>k</w:t>
            </w:r>
            <w:r>
              <w:rPr>
                <w:color w:val="000000"/>
                <w:sz w:val="22"/>
                <w:szCs w:val="22"/>
              </w:rPr>
              <w:t>gce</w:t>
            </w:r>
            <w:r>
              <w:rPr>
                <w:rFonts w:hint="eastAsia"/>
                <w:color w:val="000000"/>
                <w:sz w:val="22"/>
                <w:szCs w:val="22"/>
              </w:rPr>
              <w:t>/t</w:t>
            </w:r>
          </w:p>
        </w:tc>
        <w:tc>
          <w:tcPr>
            <w:tcW w:w="551" w:type="pct"/>
            <w:vAlign w:val="center"/>
          </w:tcPr>
          <w:p>
            <w:pPr>
              <w:spacing w:line="276" w:lineRule="auto"/>
              <w:jc w:val="center"/>
              <w:rPr>
                <w:sz w:val="22"/>
                <w:szCs w:val="22"/>
              </w:rPr>
            </w:pPr>
            <w:r>
              <w:rPr>
                <w:rFonts w:hint="eastAsia"/>
                <w:color w:val="auto"/>
                <w:sz w:val="22"/>
                <w:szCs w:val="22"/>
                <w:highlight w:val="none"/>
              </w:rPr>
              <w:t>30</w:t>
            </w:r>
          </w:p>
        </w:tc>
        <w:tc>
          <w:tcPr>
            <w:tcW w:w="1425" w:type="pct"/>
            <w:vMerge w:val="restart"/>
            <w:vAlign w:val="center"/>
          </w:tcPr>
          <w:p>
            <w:pPr>
              <w:spacing w:line="276" w:lineRule="auto"/>
              <w:jc w:val="center"/>
              <w:rPr>
                <w:color w:val="000000"/>
                <w:sz w:val="22"/>
                <w:szCs w:val="22"/>
              </w:rPr>
            </w:pPr>
            <w:r>
              <w:rPr>
                <w:rFonts w:hint="eastAsia"/>
                <w:color w:val="auto"/>
                <w:sz w:val="22"/>
                <w:szCs w:val="22"/>
                <w:highlight w:val="none"/>
              </w:rPr>
              <w:t>按照YB/</w:t>
            </w:r>
            <w:r>
              <w:rPr>
                <w:color w:val="auto"/>
                <w:sz w:val="22"/>
                <w:szCs w:val="22"/>
                <w:highlight w:val="none"/>
              </w:rPr>
              <w:t>T 4894</w:t>
            </w:r>
            <w:r>
              <w:rPr>
                <w:rFonts w:hint="eastAsia"/>
                <w:color w:val="auto"/>
                <w:sz w:val="22"/>
                <w:szCs w:val="22"/>
                <w:highlight w:val="none"/>
              </w:rPr>
              <w:t>计算</w:t>
            </w:r>
          </w:p>
        </w:tc>
        <w:tc>
          <w:tcPr>
            <w:tcW w:w="693" w:type="pct"/>
            <w:vAlign w:val="center"/>
          </w:tcPr>
          <w:p>
            <w:pPr>
              <w:spacing w:line="276" w:lineRule="auto"/>
              <w:jc w:val="center"/>
              <w:rPr>
                <w:color w:val="000000"/>
                <w:sz w:val="22"/>
                <w:szCs w:val="22"/>
              </w:rPr>
            </w:pPr>
            <w:r>
              <w:rPr>
                <w:color w:val="000000"/>
                <w:sz w:val="22"/>
                <w:szCs w:val="22"/>
              </w:rPr>
              <w:t>产品生产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6" w:hRule="atLeast"/>
          <w:jc w:val="center"/>
        </w:trPr>
        <w:tc>
          <w:tcPr>
            <w:tcW w:w="542" w:type="pct"/>
            <w:vMerge w:val="continue"/>
            <w:vAlign w:val="center"/>
          </w:tcPr>
          <w:p>
            <w:pPr>
              <w:spacing w:line="276" w:lineRule="auto"/>
              <w:jc w:val="center"/>
              <w:rPr>
                <w:color w:val="000000"/>
                <w:sz w:val="22"/>
                <w:szCs w:val="22"/>
              </w:rPr>
            </w:pPr>
          </w:p>
        </w:tc>
        <w:tc>
          <w:tcPr>
            <w:tcW w:w="459" w:type="pct"/>
            <w:vMerge w:val="continue"/>
            <w:vAlign w:val="center"/>
          </w:tcPr>
          <w:p>
            <w:pPr>
              <w:spacing w:line="276" w:lineRule="auto"/>
              <w:jc w:val="center"/>
              <w:rPr>
                <w:color w:val="000000"/>
                <w:sz w:val="22"/>
                <w:szCs w:val="22"/>
              </w:rPr>
            </w:pPr>
          </w:p>
        </w:tc>
        <w:tc>
          <w:tcPr>
            <w:tcW w:w="858" w:type="pct"/>
            <w:vAlign w:val="center"/>
          </w:tcPr>
          <w:p>
            <w:pPr>
              <w:spacing w:line="276" w:lineRule="auto"/>
              <w:jc w:val="center"/>
              <w:rPr>
                <w:color w:val="000000"/>
                <w:sz w:val="22"/>
                <w:szCs w:val="22"/>
              </w:rPr>
            </w:pPr>
            <w:r>
              <w:rPr>
                <w:rFonts w:hint="eastAsia"/>
                <w:color w:val="auto"/>
                <w:sz w:val="22"/>
                <w:szCs w:val="22"/>
                <w:highlight w:val="none"/>
                <w:lang w:val="en-US" w:eastAsia="zh-CN"/>
              </w:rPr>
              <w:t>实现全流程自动化</w:t>
            </w:r>
          </w:p>
        </w:tc>
        <w:tc>
          <w:tcPr>
            <w:tcW w:w="468" w:type="pct"/>
            <w:vMerge w:val="continue"/>
            <w:vAlign w:val="center"/>
          </w:tcPr>
          <w:p>
            <w:pPr>
              <w:spacing w:line="276" w:lineRule="auto"/>
              <w:jc w:val="center"/>
              <w:rPr>
                <w:color w:val="000000"/>
                <w:sz w:val="22"/>
                <w:szCs w:val="22"/>
              </w:rPr>
            </w:pPr>
          </w:p>
        </w:tc>
        <w:tc>
          <w:tcPr>
            <w:tcW w:w="551" w:type="pct"/>
            <w:vAlign w:val="center"/>
          </w:tcPr>
          <w:p>
            <w:pPr>
              <w:spacing w:line="276" w:lineRule="auto"/>
              <w:jc w:val="center"/>
              <w:rPr>
                <w:sz w:val="22"/>
                <w:szCs w:val="22"/>
              </w:rPr>
            </w:pPr>
            <w:r>
              <w:rPr>
                <w:rFonts w:hint="eastAsia"/>
                <w:color w:val="auto"/>
                <w:sz w:val="22"/>
                <w:szCs w:val="22"/>
                <w:highlight w:val="none"/>
                <w:lang w:val="en-US" w:eastAsia="zh-CN"/>
              </w:rPr>
              <w:t>35</w:t>
            </w:r>
          </w:p>
        </w:tc>
        <w:tc>
          <w:tcPr>
            <w:tcW w:w="1425" w:type="pct"/>
            <w:vMerge w:val="continue"/>
            <w:vAlign w:val="center"/>
          </w:tcPr>
          <w:p>
            <w:pPr>
              <w:spacing w:line="276" w:lineRule="auto"/>
              <w:jc w:val="center"/>
              <w:rPr>
                <w:color w:val="000000"/>
                <w:sz w:val="22"/>
                <w:szCs w:val="22"/>
              </w:rPr>
            </w:pPr>
          </w:p>
        </w:tc>
        <w:tc>
          <w:tcPr>
            <w:tcW w:w="693" w:type="pct"/>
            <w:vAlign w:val="center"/>
          </w:tcPr>
          <w:p>
            <w:pPr>
              <w:spacing w:line="276" w:lineRule="auto"/>
              <w:jc w:val="center"/>
              <w:rPr>
                <w:color w:val="000000"/>
                <w:sz w:val="22"/>
                <w:szCs w:val="22"/>
              </w:rPr>
            </w:pPr>
            <w:r>
              <w:rPr>
                <w:color w:val="000000"/>
                <w:sz w:val="22"/>
                <w:szCs w:val="22"/>
              </w:rPr>
              <w:t>产品生产</w:t>
            </w:r>
          </w:p>
        </w:tc>
      </w:tr>
    </w:tbl>
    <w:p>
      <w:pPr>
        <w:spacing w:line="50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产品的能源属性主要是指生产过程中的单位产品能耗。本标准的产品能耗主要指的统计报告期内，每生产1吨合格</w:t>
      </w:r>
      <w:r>
        <w:rPr>
          <w:rFonts w:hint="eastAsia"/>
          <w:color w:val="000000" w:themeColor="text1"/>
          <w:sz w:val="24"/>
          <w:lang w:eastAsia="zh-CN"/>
          <w14:textFill>
            <w14:solidFill>
              <w14:schemeClr w14:val="tx1"/>
            </w14:solidFill>
          </w14:textFill>
        </w:rPr>
        <w:t>镁碳砖</w:t>
      </w:r>
      <w:r>
        <w:rPr>
          <w:rFonts w:hint="eastAsia"/>
          <w:color w:val="000000" w:themeColor="text1"/>
          <w:sz w:val="24"/>
          <w14:textFill>
            <w14:solidFill>
              <w14:schemeClr w14:val="tx1"/>
            </w14:solidFill>
          </w14:textFill>
        </w:rPr>
        <w:t>，扣除回收的能源量后实际消耗的各种能源总量。</w:t>
      </w:r>
    </w:p>
    <w:p>
      <w:pPr>
        <w:spacing w:line="50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能源属性是绿色设计产品的主要指标，直接反映产品的能耗水平。耐火材料生产过程中，不仅包括最重要、能源消耗最高的烧成阶段能耗，也包括成型、运输、包装等相关辅助能耗。通过单位产品的能耗对标，可以直接评价产品的能耗先进性。</w:t>
      </w:r>
    </w:p>
    <w:p>
      <w:pPr>
        <w:spacing w:line="500" w:lineRule="exact"/>
        <w:ind w:firstLine="480" w:firstLineChars="200"/>
        <w:rPr>
          <w:rFonts w:hint="default"/>
          <w:sz w:val="24"/>
          <w:lang w:val="en-US"/>
        </w:rPr>
      </w:pPr>
      <w:r>
        <w:rPr>
          <w:rFonts w:hint="eastAsia"/>
          <w:color w:val="000000" w:themeColor="text1"/>
          <w:sz w:val="24"/>
          <w:lang w:val="en-US" w:eastAsia="zh-CN"/>
          <w14:textFill>
            <w14:solidFill>
              <w14:schemeClr w14:val="tx1"/>
            </w14:solidFill>
          </w14:textFill>
        </w:rPr>
        <w:t>镁碳砖单位产品能耗指标参考</w:t>
      </w:r>
      <w:r>
        <w:rPr>
          <w:rFonts w:hint="eastAsia"/>
          <w:color w:val="000000" w:themeColor="text1"/>
          <w:sz w:val="24"/>
          <w14:textFill>
            <w14:solidFill>
              <w14:schemeClr w14:val="tx1"/>
            </w14:solidFill>
          </w14:textFill>
        </w:rPr>
        <w:t>YB/T 4894</w:t>
      </w:r>
      <w:r>
        <w:rPr>
          <w:rFonts w:hint="eastAsia"/>
          <w:color w:val="000000" w:themeColor="text1"/>
          <w:sz w:val="24"/>
          <w:lang w:val="en-US" w:eastAsia="zh-CN"/>
          <w14:textFill>
            <w14:solidFill>
              <w14:schemeClr w14:val="tx1"/>
            </w14:solidFill>
          </w14:textFill>
        </w:rPr>
        <w:t>-2021</w:t>
      </w:r>
      <w:r>
        <w:rPr>
          <w:rFonts w:hint="eastAsia"/>
          <w:color w:val="000000" w:themeColor="text1"/>
          <w:sz w:val="24"/>
          <w14:textFill>
            <w14:solidFill>
              <w14:schemeClr w14:val="tx1"/>
            </w14:solidFill>
          </w14:textFill>
        </w:rPr>
        <w:t xml:space="preserve"> </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镁质耐火制品单位产品能源消耗限额</w:t>
      </w:r>
      <w:r>
        <w:rPr>
          <w:rFonts w:hint="eastAsia"/>
          <w:color w:val="000000" w:themeColor="text1"/>
          <w:sz w:val="24"/>
          <w:lang w:eastAsia="zh-CN"/>
          <w14:textFill>
            <w14:solidFill>
              <w14:schemeClr w14:val="tx1"/>
            </w14:solidFill>
          </w14:textFill>
        </w:rPr>
        <w:t>》</w:t>
      </w:r>
      <w:r>
        <w:rPr>
          <w:rFonts w:hint="eastAsia"/>
          <w:color w:val="000000" w:themeColor="text1"/>
          <w:sz w:val="24"/>
          <w:lang w:val="en-US" w:eastAsia="zh-CN"/>
          <w14:textFill>
            <w14:solidFill>
              <w14:schemeClr w14:val="tx1"/>
            </w14:solidFill>
          </w14:textFill>
        </w:rPr>
        <w:t>表1中</w:t>
      </w:r>
      <w:bookmarkEnd w:id="36"/>
      <w:r>
        <w:rPr>
          <w:rFonts w:hint="eastAsia"/>
          <w:color w:val="000000" w:themeColor="text1"/>
          <w:sz w:val="24"/>
          <w:lang w:val="en-US" w:eastAsia="zh-CN"/>
          <w14:textFill>
            <w14:solidFill>
              <w14:schemeClr w14:val="tx1"/>
            </w14:solidFill>
          </w14:textFill>
        </w:rPr>
        <w:t>镁（铝）碳砖1级能耗指标要求，而根据标准编制组对行业主要生产企业的调研情况以及对Y</w:t>
      </w:r>
      <w:r>
        <w:rPr>
          <w:rFonts w:hint="eastAsia"/>
          <w:color w:val="000000" w:themeColor="text1"/>
          <w:sz w:val="24"/>
          <w14:textFill>
            <w14:solidFill>
              <w14:schemeClr w14:val="tx1"/>
            </w14:solidFill>
          </w14:textFill>
        </w:rPr>
        <w:t>B/T 4894</w:t>
      </w:r>
      <w:r>
        <w:rPr>
          <w:rFonts w:hint="eastAsia"/>
          <w:color w:val="000000" w:themeColor="text1"/>
          <w:sz w:val="24"/>
          <w:lang w:val="en-US" w:eastAsia="zh-CN"/>
          <w14:textFill>
            <w14:solidFill>
              <w14:schemeClr w14:val="tx1"/>
            </w14:solidFill>
          </w14:textFill>
        </w:rPr>
        <w:t>编制情况的了解分析，该1级指标主要为自动化水平较低的生产企业所能达到的先进水平，随着企业生产自动化水平的提升，单位产品能耗将随之升高。因此单位产品能耗指标根据企业自动化水平进行区别考核，对未实现全流程自动化的的镁碳砖生产企业，单位产品能耗要求不高于30kgce/t，实现全流程自动化的镁碳砖生产企业，单位产品能耗要求不高于35kgce/t。</w:t>
      </w:r>
    </w:p>
    <w:p>
      <w:pPr>
        <w:rPr>
          <w:rFonts w:hint="eastAsia" w:ascii="Times New Roman" w:hAnsi="Times New Roman" w:cs="Times New Roman"/>
          <w:sz w:val="24"/>
          <w:szCs w:val="24"/>
        </w:rPr>
      </w:pPr>
      <w:bookmarkStart w:id="37" w:name="_Hlk46234595"/>
      <w:r>
        <w:rPr>
          <w:rFonts w:hint="eastAsia" w:ascii="Times New Roman" w:hAnsi="Times New Roman" w:cs="Times New Roman"/>
          <w:sz w:val="24"/>
          <w:szCs w:val="24"/>
        </w:rPr>
        <w:br w:type="page"/>
      </w:r>
    </w:p>
    <w:p>
      <w:pPr>
        <w:pStyle w:val="41"/>
        <w:spacing w:line="500" w:lineRule="exact"/>
        <w:rPr>
          <w:rFonts w:ascii="Times New Roman" w:hAnsi="Times New Roman" w:cs="Times New Roman"/>
          <w:sz w:val="24"/>
          <w:szCs w:val="24"/>
        </w:rPr>
      </w:pPr>
      <w:r>
        <w:rPr>
          <w:rFonts w:hint="eastAsia" w:ascii="Times New Roman" w:hAnsi="Times New Roman" w:cs="Times New Roman"/>
          <w:sz w:val="24"/>
          <w:szCs w:val="24"/>
        </w:rPr>
        <w:t>3.2.</w:t>
      </w:r>
      <w:r>
        <w:rPr>
          <w:rFonts w:ascii="Times New Roman" w:hAnsi="Times New Roman" w:cs="Times New Roman"/>
          <w:sz w:val="24"/>
          <w:szCs w:val="24"/>
        </w:rPr>
        <w:t>4</w:t>
      </w:r>
      <w:r>
        <w:rPr>
          <w:rFonts w:hint="eastAsia" w:ascii="Times New Roman" w:hAnsi="Times New Roman" w:cs="Times New Roman"/>
          <w:sz w:val="24"/>
          <w:szCs w:val="24"/>
        </w:rPr>
        <w:t>.4 环境属性</w:t>
      </w:r>
    </w:p>
    <w:p>
      <w:pPr>
        <w:spacing w:line="500" w:lineRule="exact"/>
        <w:ind w:firstLine="480" w:firstLineChars="200"/>
        <w:rPr>
          <w:sz w:val="24"/>
        </w:rPr>
      </w:pPr>
      <w:r>
        <w:rPr>
          <w:rFonts w:hint="eastAsia"/>
          <w:sz w:val="24"/>
        </w:rPr>
        <w:t>环境属性从</w:t>
      </w:r>
      <w:r>
        <w:rPr>
          <w:rFonts w:hint="eastAsia"/>
          <w:color w:val="000000" w:themeColor="text1"/>
          <w:sz w:val="24"/>
          <w14:textFill>
            <w14:solidFill>
              <w14:schemeClr w14:val="tx1"/>
            </w14:solidFill>
          </w14:textFill>
        </w:rPr>
        <w:t>有组织大气</w:t>
      </w:r>
      <w:r>
        <w:rPr>
          <w:color w:val="000000" w:themeColor="text1"/>
          <w:sz w:val="24"/>
          <w14:textFill>
            <w14:solidFill>
              <w14:schemeClr w14:val="tx1"/>
            </w14:solidFill>
          </w14:textFill>
        </w:rPr>
        <w:t>污染物</w:t>
      </w:r>
      <w:r>
        <w:rPr>
          <w:rFonts w:hint="eastAsia"/>
          <w:color w:val="000000" w:themeColor="text1"/>
          <w:sz w:val="24"/>
          <w14:textFill>
            <w14:solidFill>
              <w14:schemeClr w14:val="tx1"/>
            </w14:solidFill>
          </w14:textFill>
        </w:rPr>
        <w:t>排放</w:t>
      </w:r>
      <w:r>
        <w:rPr>
          <w:color w:val="000000" w:themeColor="text1"/>
          <w:sz w:val="24"/>
          <w14:textFill>
            <w14:solidFill>
              <w14:schemeClr w14:val="tx1"/>
            </w14:solidFill>
          </w14:textFill>
        </w:rPr>
        <w:t>量</w:t>
      </w:r>
      <w:r>
        <w:rPr>
          <w:rFonts w:hint="eastAsia"/>
          <w:color w:val="000000" w:themeColor="text1"/>
          <w:sz w:val="24"/>
          <w14:textFill>
            <w14:solidFill>
              <w14:schemeClr w14:val="tx1"/>
            </w14:solidFill>
          </w14:textFill>
        </w:rPr>
        <w:t>方面提出</w:t>
      </w:r>
      <w:r>
        <w:rPr>
          <w:rFonts w:hint="eastAsia"/>
          <w:sz w:val="24"/>
        </w:rPr>
        <w:t>指标要求，具体见下表。</w:t>
      </w:r>
    </w:p>
    <w:p>
      <w:pPr>
        <w:spacing w:line="500" w:lineRule="exact"/>
        <w:ind w:firstLine="480" w:firstLineChars="200"/>
        <w:jc w:val="center"/>
        <w:rPr>
          <w:sz w:val="24"/>
        </w:rPr>
      </w:pPr>
      <w:r>
        <w:rPr>
          <w:rFonts w:hint="eastAsia"/>
          <w:sz w:val="24"/>
        </w:rPr>
        <w:t>表3-3</w:t>
      </w:r>
      <w:r>
        <w:rPr>
          <w:sz w:val="24"/>
        </w:rPr>
        <w:t xml:space="preserve">  </w:t>
      </w:r>
      <w:r>
        <w:rPr>
          <w:rFonts w:hint="eastAsia"/>
          <w:sz w:val="24"/>
        </w:rPr>
        <w:t>环境属性相关指标</w:t>
      </w:r>
    </w:p>
    <w:bookmarkEnd w:id="37"/>
    <w:tbl>
      <w:tblPr>
        <w:tblStyle w:val="24"/>
        <w:tblW w:w="47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5"/>
        <w:gridCol w:w="958"/>
        <w:gridCol w:w="1387"/>
        <w:gridCol w:w="966"/>
        <w:gridCol w:w="963"/>
        <w:gridCol w:w="2454"/>
        <w:gridCol w:w="95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6" w:hRule="atLeast"/>
          <w:jc w:val="center"/>
        </w:trPr>
        <w:tc>
          <w:tcPr>
            <w:tcW w:w="543" w:type="pct"/>
            <w:vAlign w:val="center"/>
          </w:tcPr>
          <w:p>
            <w:pPr>
              <w:spacing w:line="276" w:lineRule="auto"/>
              <w:jc w:val="center"/>
              <w:rPr>
                <w:color w:val="000000"/>
                <w:sz w:val="22"/>
                <w:szCs w:val="22"/>
              </w:rPr>
            </w:pPr>
            <w:bookmarkStart w:id="38" w:name="_Hlk46236717"/>
            <w:r>
              <w:rPr>
                <w:rFonts w:hint="eastAsia"/>
                <w:color w:val="000000"/>
                <w:sz w:val="22"/>
                <w:szCs w:val="22"/>
              </w:rPr>
              <w:t>一级指标</w:t>
            </w:r>
          </w:p>
        </w:tc>
        <w:tc>
          <w:tcPr>
            <w:tcW w:w="1361" w:type="pct"/>
            <w:gridSpan w:val="2"/>
            <w:vAlign w:val="center"/>
          </w:tcPr>
          <w:p>
            <w:pPr>
              <w:spacing w:line="276" w:lineRule="auto"/>
              <w:jc w:val="center"/>
              <w:rPr>
                <w:color w:val="000000"/>
                <w:sz w:val="22"/>
                <w:szCs w:val="22"/>
              </w:rPr>
            </w:pPr>
            <w:r>
              <w:rPr>
                <w:rFonts w:hint="eastAsia"/>
                <w:color w:val="000000"/>
                <w:sz w:val="22"/>
                <w:szCs w:val="22"/>
              </w:rPr>
              <w:t>二级指标</w:t>
            </w:r>
          </w:p>
        </w:tc>
        <w:tc>
          <w:tcPr>
            <w:tcW w:w="561" w:type="pct"/>
            <w:vAlign w:val="center"/>
          </w:tcPr>
          <w:p>
            <w:pPr>
              <w:spacing w:line="276" w:lineRule="auto"/>
              <w:jc w:val="center"/>
              <w:rPr>
                <w:color w:val="000000"/>
                <w:sz w:val="22"/>
                <w:szCs w:val="22"/>
              </w:rPr>
            </w:pPr>
            <w:r>
              <w:rPr>
                <w:rFonts w:hint="eastAsia"/>
                <w:color w:val="000000"/>
                <w:sz w:val="22"/>
                <w:szCs w:val="22"/>
              </w:rPr>
              <w:t>单位</w:t>
            </w:r>
          </w:p>
        </w:tc>
        <w:tc>
          <w:tcPr>
            <w:tcW w:w="559" w:type="pct"/>
            <w:vAlign w:val="center"/>
          </w:tcPr>
          <w:p>
            <w:pPr>
              <w:spacing w:line="276" w:lineRule="auto"/>
              <w:jc w:val="center"/>
              <w:rPr>
                <w:color w:val="000000"/>
                <w:sz w:val="22"/>
                <w:szCs w:val="22"/>
              </w:rPr>
            </w:pPr>
            <w:r>
              <w:rPr>
                <w:rFonts w:hint="eastAsia"/>
                <w:color w:val="000000"/>
                <w:sz w:val="22"/>
                <w:szCs w:val="22"/>
              </w:rPr>
              <w:t>基准值</w:t>
            </w:r>
          </w:p>
        </w:tc>
        <w:tc>
          <w:tcPr>
            <w:tcW w:w="1424" w:type="pct"/>
            <w:vAlign w:val="center"/>
          </w:tcPr>
          <w:p>
            <w:pPr>
              <w:spacing w:line="276" w:lineRule="auto"/>
              <w:jc w:val="center"/>
              <w:rPr>
                <w:color w:val="000000"/>
                <w:sz w:val="22"/>
                <w:szCs w:val="22"/>
              </w:rPr>
            </w:pPr>
            <w:r>
              <w:rPr>
                <w:rFonts w:hint="eastAsia"/>
                <w:color w:val="000000"/>
                <w:sz w:val="22"/>
                <w:szCs w:val="22"/>
              </w:rPr>
              <w:t>判定依据</w:t>
            </w:r>
          </w:p>
        </w:tc>
        <w:tc>
          <w:tcPr>
            <w:tcW w:w="552" w:type="pct"/>
          </w:tcPr>
          <w:p>
            <w:pPr>
              <w:spacing w:line="276" w:lineRule="auto"/>
              <w:jc w:val="center"/>
              <w:rPr>
                <w:color w:val="000000"/>
                <w:sz w:val="22"/>
                <w:szCs w:val="22"/>
              </w:rPr>
            </w:pPr>
            <w:r>
              <w:rPr>
                <w:rFonts w:hint="eastAsia"/>
                <w:color w:val="000000"/>
                <w:sz w:val="22"/>
                <w:szCs w:val="22"/>
              </w:rPr>
              <w:t>所属生命周期阶段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1" w:hRule="atLeast"/>
          <w:jc w:val="center"/>
        </w:trPr>
        <w:tc>
          <w:tcPr>
            <w:tcW w:w="543" w:type="pct"/>
            <w:vMerge w:val="restart"/>
            <w:vAlign w:val="center"/>
          </w:tcPr>
          <w:p>
            <w:pPr>
              <w:spacing w:line="276" w:lineRule="auto"/>
              <w:jc w:val="center"/>
              <w:rPr>
                <w:color w:val="000000"/>
                <w:sz w:val="22"/>
                <w:szCs w:val="22"/>
              </w:rPr>
            </w:pPr>
            <w:r>
              <w:rPr>
                <w:rFonts w:hint="eastAsia"/>
                <w:color w:val="000000"/>
                <w:sz w:val="22"/>
                <w:szCs w:val="22"/>
              </w:rPr>
              <w:t>环境属性</w:t>
            </w:r>
          </w:p>
        </w:tc>
        <w:tc>
          <w:tcPr>
            <w:tcW w:w="556" w:type="pct"/>
            <w:vMerge w:val="restart"/>
            <w:vAlign w:val="center"/>
          </w:tcPr>
          <w:p>
            <w:pPr>
              <w:spacing w:line="276" w:lineRule="auto"/>
              <w:jc w:val="center"/>
              <w:rPr>
                <w:color w:val="000000"/>
                <w:sz w:val="22"/>
                <w:szCs w:val="22"/>
              </w:rPr>
            </w:pPr>
            <w:r>
              <w:rPr>
                <w:color w:val="000000"/>
                <w:sz w:val="22"/>
                <w:szCs w:val="22"/>
              </w:rPr>
              <w:t>有组织大气污染物排放量</w:t>
            </w:r>
          </w:p>
        </w:tc>
        <w:tc>
          <w:tcPr>
            <w:tcW w:w="805" w:type="pct"/>
            <w:vAlign w:val="center"/>
          </w:tcPr>
          <w:p>
            <w:pPr>
              <w:spacing w:line="276" w:lineRule="auto"/>
              <w:jc w:val="center"/>
              <w:rPr>
                <w:color w:val="000000"/>
                <w:sz w:val="22"/>
                <w:szCs w:val="22"/>
              </w:rPr>
            </w:pPr>
            <w:r>
              <w:rPr>
                <w:color w:val="000000"/>
                <w:sz w:val="22"/>
                <w:szCs w:val="22"/>
              </w:rPr>
              <w:t>颗粒物</w:t>
            </w:r>
          </w:p>
        </w:tc>
        <w:tc>
          <w:tcPr>
            <w:tcW w:w="561" w:type="pct"/>
            <w:vMerge w:val="restart"/>
            <w:vAlign w:val="center"/>
          </w:tcPr>
          <w:p>
            <w:pPr>
              <w:spacing w:line="276" w:lineRule="auto"/>
              <w:jc w:val="center"/>
              <w:rPr>
                <w:color w:val="000000"/>
                <w:sz w:val="22"/>
                <w:szCs w:val="22"/>
              </w:rPr>
            </w:pPr>
            <w:r>
              <w:rPr>
                <w:color w:val="000000"/>
                <w:sz w:val="22"/>
                <w:szCs w:val="22"/>
              </w:rPr>
              <w:t>mg</w:t>
            </w:r>
            <w:r>
              <w:rPr>
                <w:rFonts w:hint="eastAsia"/>
                <w:color w:val="000000"/>
                <w:sz w:val="22"/>
                <w:szCs w:val="22"/>
              </w:rPr>
              <w:t>/m</w:t>
            </w:r>
            <w:r>
              <w:rPr>
                <w:rFonts w:hint="eastAsia"/>
                <w:color w:val="000000"/>
                <w:sz w:val="22"/>
                <w:szCs w:val="22"/>
                <w:vertAlign w:val="superscript"/>
              </w:rPr>
              <w:t>3</w:t>
            </w:r>
          </w:p>
        </w:tc>
        <w:tc>
          <w:tcPr>
            <w:tcW w:w="559" w:type="pct"/>
            <w:vAlign w:val="center"/>
          </w:tcPr>
          <w:p>
            <w:pPr>
              <w:spacing w:line="276" w:lineRule="auto"/>
              <w:jc w:val="center"/>
              <w:rPr>
                <w:color w:val="000000"/>
                <w:sz w:val="22"/>
                <w:szCs w:val="22"/>
              </w:rPr>
            </w:pPr>
            <w:r>
              <w:rPr>
                <w:rFonts w:hint="eastAsia"/>
                <w:color w:val="000000"/>
                <w:sz w:val="22"/>
                <w:szCs w:val="22"/>
              </w:rPr>
              <w:t>≤</w:t>
            </w:r>
            <w:r>
              <w:rPr>
                <w:color w:val="000000"/>
                <w:sz w:val="22"/>
                <w:szCs w:val="22"/>
              </w:rPr>
              <w:t>10</w:t>
            </w:r>
          </w:p>
        </w:tc>
        <w:tc>
          <w:tcPr>
            <w:tcW w:w="1424" w:type="pct"/>
            <w:vMerge w:val="restart"/>
            <w:vAlign w:val="center"/>
          </w:tcPr>
          <w:p>
            <w:pPr>
              <w:spacing w:line="276" w:lineRule="auto"/>
              <w:jc w:val="center"/>
              <w:rPr>
                <w:color w:val="000000"/>
                <w:sz w:val="22"/>
                <w:szCs w:val="22"/>
              </w:rPr>
            </w:pPr>
            <w:r>
              <w:rPr>
                <w:color w:val="000000"/>
                <w:sz w:val="22"/>
                <w:szCs w:val="22"/>
              </w:rPr>
              <w:t>按照GB/T 16157、GB/T 15432、HJ 836、HJ/T 56、HJ/T 57、HJ 629、HJ/T 42、HJ/T 43、HJ 692、HJ 693检测并提供检测报告</w:t>
            </w:r>
          </w:p>
        </w:tc>
        <w:tc>
          <w:tcPr>
            <w:tcW w:w="552" w:type="pct"/>
            <w:vMerge w:val="restart"/>
            <w:vAlign w:val="center"/>
          </w:tcPr>
          <w:p>
            <w:pPr>
              <w:spacing w:line="276" w:lineRule="auto"/>
              <w:jc w:val="center"/>
              <w:rPr>
                <w:color w:val="000000"/>
                <w:sz w:val="22"/>
                <w:szCs w:val="22"/>
              </w:rPr>
            </w:pPr>
            <w:r>
              <w:rPr>
                <w:color w:val="000000"/>
                <w:sz w:val="22"/>
                <w:szCs w:val="22"/>
              </w:rPr>
              <w:t>产品生产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1" w:hRule="atLeast"/>
          <w:jc w:val="center"/>
        </w:trPr>
        <w:tc>
          <w:tcPr>
            <w:tcW w:w="543" w:type="pct"/>
            <w:vMerge w:val="continue"/>
            <w:vAlign w:val="center"/>
          </w:tcPr>
          <w:p>
            <w:pPr>
              <w:spacing w:line="276" w:lineRule="auto"/>
              <w:jc w:val="center"/>
              <w:rPr>
                <w:color w:val="000000"/>
                <w:sz w:val="22"/>
                <w:szCs w:val="22"/>
              </w:rPr>
            </w:pPr>
          </w:p>
        </w:tc>
        <w:tc>
          <w:tcPr>
            <w:tcW w:w="556" w:type="pct"/>
            <w:vMerge w:val="continue"/>
            <w:vAlign w:val="center"/>
          </w:tcPr>
          <w:p>
            <w:pPr>
              <w:spacing w:line="276" w:lineRule="auto"/>
              <w:jc w:val="center"/>
              <w:rPr>
                <w:color w:val="000000"/>
                <w:sz w:val="22"/>
                <w:szCs w:val="22"/>
              </w:rPr>
            </w:pPr>
          </w:p>
        </w:tc>
        <w:tc>
          <w:tcPr>
            <w:tcW w:w="805" w:type="pct"/>
            <w:vAlign w:val="center"/>
          </w:tcPr>
          <w:p>
            <w:pPr>
              <w:spacing w:line="276" w:lineRule="auto"/>
              <w:jc w:val="center"/>
              <w:rPr>
                <w:color w:val="000000"/>
                <w:sz w:val="22"/>
                <w:szCs w:val="22"/>
              </w:rPr>
            </w:pPr>
            <w:r>
              <w:rPr>
                <w:rFonts w:hAnsi="Calibri"/>
                <w:color w:val="000000"/>
                <w:sz w:val="22"/>
                <w:szCs w:val="22"/>
              </w:rPr>
              <w:t>二氧化硫</w:t>
            </w:r>
          </w:p>
        </w:tc>
        <w:tc>
          <w:tcPr>
            <w:tcW w:w="561" w:type="pct"/>
            <w:vMerge w:val="continue"/>
            <w:vAlign w:val="center"/>
          </w:tcPr>
          <w:p>
            <w:pPr>
              <w:spacing w:line="276" w:lineRule="auto"/>
              <w:jc w:val="center"/>
              <w:rPr>
                <w:color w:val="000000"/>
                <w:sz w:val="22"/>
                <w:szCs w:val="22"/>
              </w:rPr>
            </w:pPr>
          </w:p>
        </w:tc>
        <w:tc>
          <w:tcPr>
            <w:tcW w:w="559" w:type="pct"/>
            <w:vAlign w:val="center"/>
          </w:tcPr>
          <w:p>
            <w:pPr>
              <w:spacing w:line="276" w:lineRule="auto"/>
              <w:jc w:val="center"/>
              <w:rPr>
                <w:color w:val="000000"/>
                <w:sz w:val="22"/>
                <w:szCs w:val="22"/>
              </w:rPr>
            </w:pPr>
            <w:r>
              <w:rPr>
                <w:rFonts w:hint="eastAsia"/>
                <w:color w:val="000000"/>
                <w:sz w:val="22"/>
                <w:szCs w:val="22"/>
              </w:rPr>
              <w:t>≤</w:t>
            </w:r>
            <w:r>
              <w:rPr>
                <w:rFonts w:hAnsi="Calibri"/>
                <w:color w:val="000000"/>
                <w:sz w:val="22"/>
                <w:szCs w:val="22"/>
              </w:rPr>
              <w:t>50</w:t>
            </w:r>
          </w:p>
        </w:tc>
        <w:tc>
          <w:tcPr>
            <w:tcW w:w="1424" w:type="pct"/>
            <w:vMerge w:val="continue"/>
            <w:vAlign w:val="center"/>
          </w:tcPr>
          <w:p>
            <w:pPr>
              <w:spacing w:line="276" w:lineRule="auto"/>
              <w:jc w:val="center"/>
              <w:rPr>
                <w:color w:val="000000"/>
                <w:sz w:val="22"/>
                <w:szCs w:val="22"/>
              </w:rPr>
            </w:pPr>
          </w:p>
        </w:tc>
        <w:tc>
          <w:tcPr>
            <w:tcW w:w="552" w:type="pct"/>
            <w:vMerge w:val="continue"/>
          </w:tcPr>
          <w:p>
            <w:pPr>
              <w:spacing w:line="276" w:lineRule="auto"/>
              <w:jc w:val="center"/>
              <w:rPr>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1" w:hRule="atLeast"/>
          <w:jc w:val="center"/>
        </w:trPr>
        <w:tc>
          <w:tcPr>
            <w:tcW w:w="543" w:type="pct"/>
            <w:vMerge w:val="continue"/>
            <w:vAlign w:val="center"/>
          </w:tcPr>
          <w:p>
            <w:pPr>
              <w:spacing w:line="276" w:lineRule="auto"/>
              <w:jc w:val="center"/>
              <w:rPr>
                <w:color w:val="000000"/>
                <w:sz w:val="22"/>
                <w:szCs w:val="22"/>
              </w:rPr>
            </w:pPr>
          </w:p>
        </w:tc>
        <w:tc>
          <w:tcPr>
            <w:tcW w:w="556" w:type="pct"/>
            <w:vMerge w:val="continue"/>
            <w:vAlign w:val="center"/>
          </w:tcPr>
          <w:p>
            <w:pPr>
              <w:spacing w:line="276" w:lineRule="auto"/>
              <w:jc w:val="center"/>
              <w:rPr>
                <w:color w:val="000000"/>
                <w:sz w:val="22"/>
                <w:szCs w:val="22"/>
              </w:rPr>
            </w:pPr>
          </w:p>
        </w:tc>
        <w:tc>
          <w:tcPr>
            <w:tcW w:w="805" w:type="pct"/>
            <w:vAlign w:val="center"/>
          </w:tcPr>
          <w:p>
            <w:pPr>
              <w:spacing w:line="276" w:lineRule="auto"/>
              <w:jc w:val="center"/>
              <w:rPr>
                <w:color w:val="000000"/>
                <w:sz w:val="22"/>
                <w:szCs w:val="22"/>
              </w:rPr>
            </w:pPr>
            <w:r>
              <w:rPr>
                <w:rFonts w:hAnsi="Calibri"/>
                <w:color w:val="000000"/>
                <w:sz w:val="22"/>
                <w:szCs w:val="22"/>
              </w:rPr>
              <w:t>氮氧化物</w:t>
            </w:r>
          </w:p>
        </w:tc>
        <w:tc>
          <w:tcPr>
            <w:tcW w:w="561" w:type="pct"/>
            <w:vMerge w:val="continue"/>
            <w:vAlign w:val="center"/>
          </w:tcPr>
          <w:p>
            <w:pPr>
              <w:spacing w:line="276" w:lineRule="auto"/>
              <w:jc w:val="center"/>
              <w:rPr>
                <w:color w:val="000000"/>
                <w:sz w:val="22"/>
                <w:szCs w:val="22"/>
              </w:rPr>
            </w:pPr>
          </w:p>
        </w:tc>
        <w:tc>
          <w:tcPr>
            <w:tcW w:w="559" w:type="pct"/>
            <w:vAlign w:val="center"/>
          </w:tcPr>
          <w:p>
            <w:pPr>
              <w:spacing w:line="276" w:lineRule="auto"/>
              <w:jc w:val="center"/>
              <w:rPr>
                <w:color w:val="000000"/>
                <w:sz w:val="22"/>
                <w:szCs w:val="22"/>
              </w:rPr>
            </w:pPr>
            <w:r>
              <w:rPr>
                <w:rFonts w:hint="eastAsia"/>
                <w:color w:val="000000"/>
                <w:sz w:val="22"/>
                <w:szCs w:val="22"/>
              </w:rPr>
              <w:t>≤</w:t>
            </w:r>
            <w:r>
              <w:rPr>
                <w:rFonts w:hAnsi="Calibri"/>
                <w:color w:val="000000"/>
                <w:sz w:val="22"/>
                <w:szCs w:val="22"/>
              </w:rPr>
              <w:t>100</w:t>
            </w:r>
          </w:p>
        </w:tc>
        <w:tc>
          <w:tcPr>
            <w:tcW w:w="1424" w:type="pct"/>
            <w:vMerge w:val="continue"/>
            <w:vAlign w:val="center"/>
          </w:tcPr>
          <w:p>
            <w:pPr>
              <w:spacing w:line="276" w:lineRule="auto"/>
              <w:jc w:val="center"/>
              <w:rPr>
                <w:color w:val="000000"/>
                <w:sz w:val="22"/>
                <w:szCs w:val="22"/>
              </w:rPr>
            </w:pPr>
          </w:p>
        </w:tc>
        <w:tc>
          <w:tcPr>
            <w:tcW w:w="552" w:type="pct"/>
            <w:vMerge w:val="continue"/>
          </w:tcPr>
          <w:p>
            <w:pPr>
              <w:spacing w:line="276" w:lineRule="auto"/>
              <w:jc w:val="center"/>
              <w:rPr>
                <w:color w:val="00000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1" w:hRule="atLeast"/>
          <w:jc w:val="center"/>
        </w:trPr>
        <w:tc>
          <w:tcPr>
            <w:tcW w:w="5000" w:type="pct"/>
            <w:gridSpan w:val="7"/>
            <w:vAlign w:val="center"/>
          </w:tcPr>
          <w:p>
            <w:pPr>
              <w:spacing w:line="276" w:lineRule="auto"/>
              <w:jc w:val="left"/>
              <w:rPr>
                <w:sz w:val="22"/>
                <w:szCs w:val="22"/>
              </w:rPr>
            </w:pPr>
            <w:r>
              <w:rPr>
                <w:rFonts w:hint="eastAsia" w:ascii="黑体" w:hAnsi="黑体" w:eastAsia="黑体"/>
                <w:b/>
                <w:bCs/>
                <w:sz w:val="22"/>
                <w:szCs w:val="22"/>
              </w:rPr>
              <w:t>注</w:t>
            </w:r>
            <w:r>
              <w:rPr>
                <w:rFonts w:hint="eastAsia"/>
                <w:b/>
                <w:bCs/>
                <w:sz w:val="22"/>
                <w:szCs w:val="22"/>
              </w:rPr>
              <w:t>：</w:t>
            </w:r>
            <w:r>
              <w:rPr>
                <w:rFonts w:hint="eastAsia"/>
                <w:sz w:val="22"/>
                <w:szCs w:val="22"/>
              </w:rPr>
              <w:t>有组织大气污染物排放量的基准氧含量取18%。</w:t>
            </w:r>
          </w:p>
        </w:tc>
      </w:tr>
    </w:tbl>
    <w:p>
      <w:pPr>
        <w:spacing w:line="500" w:lineRule="exact"/>
        <w:ind w:firstLine="480" w:firstLineChars="200"/>
        <w:rPr>
          <w:sz w:val="24"/>
        </w:rPr>
      </w:pPr>
      <w:r>
        <w:rPr>
          <w:rFonts w:hint="eastAsia"/>
          <w:sz w:val="24"/>
        </w:rPr>
        <w:t>本标准主要从有组织大气污染物排放量方面提出指标要求。</w:t>
      </w:r>
    </w:p>
    <w:p>
      <w:pPr>
        <w:spacing w:line="500" w:lineRule="exact"/>
        <w:ind w:firstLine="480" w:firstLineChars="200"/>
        <w:rPr>
          <w:sz w:val="24"/>
        </w:rPr>
      </w:pPr>
      <w:r>
        <w:rPr>
          <w:rFonts w:hint="eastAsia"/>
          <w:sz w:val="24"/>
        </w:rPr>
        <w:t>企业的有组织大气污染物排放量指标判定依据参照团体标准T/ACRI 006耐火材料工业大气污染物排放标准制定，标准主要限定了颗粒物、二氧化硫、氮氧化物的排放浓度，在地方环境部门对于耐火材料生产企业的要求来看，其主要要求指标也是此三项排放因素，因而本标准也采用这三个指标作为判定依据。</w:t>
      </w:r>
    </w:p>
    <w:p>
      <w:pPr>
        <w:spacing w:line="500" w:lineRule="exact"/>
        <w:ind w:firstLine="480" w:firstLineChars="200"/>
        <w:rPr>
          <w:sz w:val="24"/>
        </w:rPr>
      </w:pPr>
      <w:r>
        <w:rPr>
          <w:rFonts w:hint="eastAsia"/>
          <w:sz w:val="24"/>
        </w:rPr>
        <w:t>本标准还参照河南省DB41/1066工业炉窑大气污染物排放标准中耐火材料工业干燥及烧成窑的要求和山东省DB37/2373 建材工业大气污染排放标准中新建企业大气污染限制中耐火材料企业在重点控制区域的要求。其中，DB41/1066标准中对于耐火材料工业干燥及烧成窑和DB37/2373标准中对于新建耐火材料干燥窑及烧成窑炉的有组织大气污染物排放的浓度要求限制均为颗粒物不高于10 mg/m</w:t>
      </w:r>
      <w:r>
        <w:rPr>
          <w:rFonts w:hint="eastAsia"/>
          <w:sz w:val="24"/>
          <w:vertAlign w:val="superscript"/>
        </w:rPr>
        <w:t>3</w:t>
      </w:r>
      <w:r>
        <w:rPr>
          <w:rFonts w:hint="eastAsia"/>
          <w:sz w:val="24"/>
        </w:rPr>
        <w:t>，二氧化硫不高于50 mg/m</w:t>
      </w:r>
      <w:r>
        <w:rPr>
          <w:rFonts w:hint="eastAsia"/>
          <w:sz w:val="24"/>
          <w:vertAlign w:val="superscript"/>
        </w:rPr>
        <w:t>3</w:t>
      </w:r>
      <w:r>
        <w:rPr>
          <w:rFonts w:hint="eastAsia"/>
          <w:sz w:val="24"/>
        </w:rPr>
        <w:t>，氮氧化为不高于100mg/m</w:t>
      </w:r>
      <w:r>
        <w:rPr>
          <w:rFonts w:hint="eastAsia"/>
          <w:sz w:val="24"/>
          <w:vertAlign w:val="superscript"/>
        </w:rPr>
        <w:t>3</w:t>
      </w:r>
      <w:r>
        <w:rPr>
          <w:rFonts w:hint="eastAsia"/>
          <w:sz w:val="24"/>
        </w:rPr>
        <w:t>，相较于T/ACRI 006耐火材料工业大气污染物排放标准中颗粒物不高于50 mg/m</w:t>
      </w:r>
      <w:r>
        <w:rPr>
          <w:rFonts w:hint="eastAsia"/>
          <w:sz w:val="24"/>
          <w:vertAlign w:val="superscript"/>
        </w:rPr>
        <w:t>3</w:t>
      </w:r>
      <w:r>
        <w:rPr>
          <w:rFonts w:hint="eastAsia"/>
          <w:sz w:val="24"/>
        </w:rPr>
        <w:t>，二氧化硫不高于100mg/m</w:t>
      </w:r>
      <w:r>
        <w:rPr>
          <w:rFonts w:hint="eastAsia"/>
          <w:sz w:val="24"/>
          <w:vertAlign w:val="superscript"/>
        </w:rPr>
        <w:t>3</w:t>
      </w:r>
      <w:r>
        <w:rPr>
          <w:rFonts w:hint="eastAsia"/>
          <w:sz w:val="24"/>
        </w:rPr>
        <w:t>，氮氧化为不高于300mg/m</w:t>
      </w:r>
      <w:r>
        <w:rPr>
          <w:rFonts w:hint="eastAsia"/>
          <w:sz w:val="24"/>
          <w:vertAlign w:val="superscript"/>
        </w:rPr>
        <w:t>3</w:t>
      </w:r>
      <w:r>
        <w:rPr>
          <w:rFonts w:hint="eastAsia"/>
          <w:sz w:val="24"/>
        </w:rPr>
        <w:t>（烧成温度1400-1700℃）的标准要严格。同时地方标准也具备一定的强制性，排污不达标的企业，会被强制关停，而排污水平达不到先进的企业，在重污染天气下也必须限产。因而本标准采用较严格的地方标准排放数值。本标准将三种污染物排放限制的基准值设置为颗粒物10mg/m</w:t>
      </w:r>
      <w:r>
        <w:rPr>
          <w:rFonts w:hint="eastAsia"/>
          <w:sz w:val="24"/>
          <w:vertAlign w:val="superscript"/>
        </w:rPr>
        <w:t>3</w:t>
      </w:r>
      <w:r>
        <w:rPr>
          <w:rFonts w:hint="eastAsia"/>
          <w:sz w:val="24"/>
        </w:rPr>
        <w:t>、二氧化硫50mg/m</w:t>
      </w:r>
      <w:r>
        <w:rPr>
          <w:rFonts w:hint="eastAsia"/>
          <w:sz w:val="24"/>
          <w:vertAlign w:val="superscript"/>
        </w:rPr>
        <w:t>3</w:t>
      </w:r>
      <w:r>
        <w:rPr>
          <w:rFonts w:hint="eastAsia"/>
          <w:sz w:val="24"/>
        </w:rPr>
        <w:t>、氮氧化物100mg/m</w:t>
      </w:r>
      <w:r>
        <w:rPr>
          <w:rFonts w:hint="eastAsia"/>
          <w:sz w:val="24"/>
          <w:vertAlign w:val="superscript"/>
        </w:rPr>
        <w:t>3</w:t>
      </w:r>
      <w:r>
        <w:rPr>
          <w:rFonts w:hint="eastAsia"/>
          <w:color w:val="000000" w:themeColor="text1"/>
          <w:sz w:val="24"/>
          <w14:textFill>
            <w14:solidFill>
              <w14:schemeClr w14:val="tx1"/>
            </w14:solidFill>
          </w14:textFill>
        </w:rPr>
        <w:t>。</w:t>
      </w:r>
    </w:p>
    <w:p>
      <w:pPr>
        <w:pStyle w:val="41"/>
        <w:spacing w:line="500" w:lineRule="exact"/>
        <w:rPr>
          <w:rFonts w:hint="eastAsia" w:ascii="Times New Roman" w:hAnsi="Times New Roman" w:cs="Times New Roman"/>
          <w:sz w:val="24"/>
          <w:szCs w:val="24"/>
        </w:rPr>
      </w:pPr>
      <w:r>
        <w:rPr>
          <w:rFonts w:hint="eastAsia" w:ascii="Times New Roman" w:hAnsi="Times New Roman" w:cs="Times New Roman"/>
          <w:sz w:val="24"/>
          <w:szCs w:val="24"/>
        </w:rPr>
        <w:t>3.2.3.4 产品属性</w:t>
      </w:r>
    </w:p>
    <w:p>
      <w:pPr>
        <w:spacing w:line="500" w:lineRule="exact"/>
        <w:ind w:firstLine="480" w:firstLineChars="200"/>
        <w:rPr>
          <w:rFonts w:hint="default" w:eastAsia="宋体"/>
          <w:sz w:val="24"/>
          <w:lang w:val="en-US" w:eastAsia="zh-CN"/>
        </w:rPr>
      </w:pPr>
      <w:r>
        <w:rPr>
          <w:rFonts w:hint="eastAsia"/>
          <w:sz w:val="24"/>
          <w:lang w:val="en-US" w:eastAsia="zh-CN"/>
        </w:rPr>
        <w:t>广泛征集行业内镁碳砖生产企业的生产现状，现阶段各企业镁碳砖生产主要的产品执行标准有GB/T 22589 《镁碳砖》、T/ACRI 0009 《钢包用镁碳砖》、T/ACRI 0010 《炼钢转炉用镁碳砖》、T/ACRI 0011 《超高功率电弧炉用镁碳砖》，跟关键的由于镁碳砖产品存在一定的定制化属性，仍有大部分订单的产品标准以客户需求为主，因此本标准未对镁碳砖绿色设计产品提出产品属性要求。对镁碳砖产品质量的要求主要体现在本标准第五章评价要求的“5.1.7 产品性能应符合GB/T 22589、T/ACRI 0009、T/ACRI 0010、T/ACRI 0011等国家、行业或团体标准要求，或满足供需双方约定的使用要求”。</w:t>
      </w:r>
    </w:p>
    <w:bookmarkEnd w:id="38"/>
    <w:p>
      <w:pPr>
        <w:pStyle w:val="40"/>
        <w:spacing w:line="500" w:lineRule="exact"/>
        <w:rPr>
          <w:rFonts w:cs="Times New Roman"/>
          <w:sz w:val="24"/>
          <w:szCs w:val="24"/>
        </w:rPr>
      </w:pPr>
      <w:bookmarkStart w:id="39" w:name="_Toc46485319"/>
      <w:bookmarkStart w:id="40" w:name="_Toc66714167"/>
      <w:r>
        <w:rPr>
          <w:rFonts w:cs="Times New Roman"/>
          <w:sz w:val="24"/>
          <w:szCs w:val="24"/>
        </w:rPr>
        <w:t>3.2.5</w:t>
      </w:r>
      <w:r>
        <w:rPr>
          <w:rFonts w:hint="eastAsia" w:cs="Times New Roman"/>
          <w:sz w:val="24"/>
          <w:szCs w:val="24"/>
        </w:rPr>
        <w:t xml:space="preserve"> 产品生命周期评价报告编制方法</w:t>
      </w:r>
      <w:bookmarkEnd w:id="39"/>
      <w:bookmarkEnd w:id="40"/>
    </w:p>
    <w:p>
      <w:pPr>
        <w:spacing w:line="500" w:lineRule="exact"/>
        <w:ind w:firstLine="480" w:firstLineChars="200"/>
        <w:rPr>
          <w:sz w:val="24"/>
        </w:rPr>
      </w:pPr>
      <w:r>
        <w:rPr>
          <w:rFonts w:hint="eastAsia"/>
          <w:sz w:val="24"/>
        </w:rPr>
        <w:t>生命周期评价报告中应包含两部分内容，第一部分为基本信息部分，基本信息部分里</w:t>
      </w:r>
      <w:r>
        <w:rPr>
          <w:sz w:val="24"/>
        </w:rPr>
        <w:t>应提供报告信息、申请者信息、评估对象信息、采用的标准信息等基本信息，其中报告信息包括报告编号、编制人员、审核人员、发布日期等，申请者信息包括公司全称、统一社会信用代码、地址、联系人、联系方式等。</w:t>
      </w:r>
      <w:r>
        <w:rPr>
          <w:rFonts w:hint="eastAsia"/>
          <w:sz w:val="24"/>
        </w:rPr>
        <w:t>同时</w:t>
      </w:r>
      <w:r>
        <w:rPr>
          <w:sz w:val="24"/>
        </w:rPr>
        <w:t>在报告中</w:t>
      </w:r>
      <w:r>
        <w:rPr>
          <w:rFonts w:hint="eastAsia"/>
          <w:sz w:val="24"/>
        </w:rPr>
        <w:t>也</w:t>
      </w:r>
      <w:r>
        <w:rPr>
          <w:sz w:val="24"/>
        </w:rPr>
        <w:t>应标注产品的主要技术参数，如产品名称、</w:t>
      </w:r>
      <w:r>
        <w:rPr>
          <w:rFonts w:hint="eastAsia"/>
          <w:sz w:val="24"/>
        </w:rPr>
        <w:t>牌号</w:t>
      </w:r>
      <w:r>
        <w:rPr>
          <w:sz w:val="24"/>
        </w:rPr>
        <w:t>等。</w:t>
      </w:r>
    </w:p>
    <w:p>
      <w:pPr>
        <w:spacing w:line="500" w:lineRule="exact"/>
        <w:ind w:firstLine="480" w:firstLineChars="200"/>
        <w:rPr>
          <w:sz w:val="24"/>
        </w:rPr>
      </w:pPr>
      <w:r>
        <w:rPr>
          <w:rFonts w:hint="eastAsia"/>
          <w:sz w:val="24"/>
        </w:rPr>
        <w:t>第二部分为</w:t>
      </w:r>
      <w:r>
        <w:rPr>
          <w:sz w:val="24"/>
        </w:rPr>
        <w:t>符合性评价</w:t>
      </w:r>
      <w:r>
        <w:rPr>
          <w:rFonts w:hint="eastAsia"/>
          <w:sz w:val="24"/>
        </w:rPr>
        <w:t>部分，该部分需要在</w:t>
      </w:r>
      <w:r>
        <w:rPr>
          <w:sz w:val="24"/>
        </w:rPr>
        <w:t>报告中提供对基本要求和评价指标要求的符合性情况，并提供所有评价指标报告期与基期改进情况的说明。其中报告期为当前评价的年份，一般是指产品参与评价年份的上一年；基期为一个对照年份，一般比报告期提前一年。</w:t>
      </w:r>
    </w:p>
    <w:p>
      <w:pPr>
        <w:spacing w:line="500" w:lineRule="exact"/>
        <w:ind w:firstLine="480" w:firstLineChars="200"/>
        <w:rPr>
          <w:sz w:val="24"/>
        </w:rPr>
      </w:pPr>
      <w:r>
        <w:rPr>
          <w:sz w:val="24"/>
        </w:rPr>
        <w:t>附录B</w:t>
      </w:r>
      <w:r>
        <w:rPr>
          <w:rFonts w:hint="eastAsia"/>
          <w:sz w:val="24"/>
        </w:rPr>
        <w:t>中提供了</w:t>
      </w:r>
      <w:r>
        <w:rPr>
          <w:sz w:val="24"/>
        </w:rPr>
        <w:t>编制生命周期评价报告</w:t>
      </w:r>
      <w:r>
        <w:rPr>
          <w:rFonts w:hint="eastAsia"/>
          <w:sz w:val="24"/>
        </w:rPr>
        <w:t>的方法和流程</w:t>
      </w:r>
      <w:r>
        <w:rPr>
          <w:sz w:val="24"/>
        </w:rPr>
        <w:t>。</w:t>
      </w:r>
      <w:r>
        <w:rPr>
          <w:rFonts w:hint="eastAsia"/>
          <w:sz w:val="24"/>
        </w:rPr>
        <w:t>主要包括评价对象及工具、生命周期清单分析、生命周期影响评价和绿色设计改进方案。</w:t>
      </w:r>
    </w:p>
    <w:p>
      <w:pPr>
        <w:spacing w:line="500" w:lineRule="exact"/>
        <w:ind w:firstLine="480" w:firstLineChars="200"/>
        <w:rPr>
          <w:sz w:val="24"/>
        </w:rPr>
      </w:pPr>
      <w:r>
        <w:rPr>
          <w:rFonts w:hint="eastAsia"/>
          <w:sz w:val="24"/>
        </w:rPr>
        <w:t>报告的最后需要依据基本要求、评价指标、生命周期评价报告以及改进方案得出该种产品是否是绿色设计产品的初步结论。此外，还需要提供产品主要原材料清单、产品工艺流程图以及各单元过程的数据收集表等资料来证明核查过程的来源和依据。</w:t>
      </w:r>
    </w:p>
    <w:p>
      <w:pPr>
        <w:pStyle w:val="40"/>
        <w:spacing w:line="500" w:lineRule="exact"/>
        <w:rPr>
          <w:rFonts w:cs="Times New Roman"/>
          <w:sz w:val="24"/>
          <w:szCs w:val="24"/>
        </w:rPr>
      </w:pPr>
      <w:bookmarkStart w:id="41" w:name="_Toc66714168"/>
      <w:bookmarkStart w:id="42" w:name="_Toc46485320"/>
      <w:r>
        <w:rPr>
          <w:rFonts w:hint="eastAsia" w:cs="Times New Roman"/>
          <w:sz w:val="24"/>
          <w:szCs w:val="24"/>
        </w:rPr>
        <w:t>3.2.</w:t>
      </w:r>
      <w:r>
        <w:rPr>
          <w:rFonts w:cs="Times New Roman"/>
          <w:sz w:val="24"/>
          <w:szCs w:val="24"/>
        </w:rPr>
        <w:t>6</w:t>
      </w:r>
      <w:bookmarkEnd w:id="41"/>
      <w:bookmarkEnd w:id="42"/>
      <w:r>
        <w:rPr>
          <w:rFonts w:hint="eastAsia" w:cs="Times New Roman"/>
          <w:sz w:val="24"/>
          <w:szCs w:val="24"/>
        </w:rPr>
        <w:t>判定及标识</w:t>
      </w:r>
    </w:p>
    <w:p>
      <w:pPr>
        <w:spacing w:line="500" w:lineRule="exact"/>
        <w:ind w:firstLine="480" w:firstLineChars="200"/>
        <w:rPr>
          <w:sz w:val="24"/>
        </w:rPr>
      </w:pPr>
      <w:bookmarkStart w:id="43" w:name="_Hlk64723740"/>
      <w:r>
        <w:rPr>
          <w:rFonts w:hint="eastAsia"/>
          <w:sz w:val="24"/>
        </w:rPr>
        <w:t>同时满足基本要求、评价指标要求以及提供产品生命周期评价报告三项要求的产品可判定为绿色设计产品：判定为绿色设计产品的可按照 GB/T32162的要求粘贴标识，可以各种形式进行相关信息自我声明，声明内容应包括但不限于基本要求、评价指标的要求，但需要提供相关的符合有关要求的验证说明材料</w:t>
      </w:r>
      <w:bookmarkEnd w:id="43"/>
      <w:r>
        <w:rPr>
          <w:rFonts w:hint="eastAsia"/>
          <w:sz w:val="24"/>
        </w:rPr>
        <w:t>。</w:t>
      </w:r>
    </w:p>
    <w:p>
      <w:pPr>
        <w:pStyle w:val="40"/>
        <w:spacing w:line="500" w:lineRule="exact"/>
        <w:rPr>
          <w:rFonts w:cs="Times New Roman"/>
          <w:sz w:val="24"/>
          <w:szCs w:val="24"/>
        </w:rPr>
      </w:pPr>
      <w:bookmarkStart w:id="44" w:name="_Toc46485321"/>
      <w:bookmarkStart w:id="45" w:name="_Toc66714169"/>
      <w:r>
        <w:rPr>
          <w:rFonts w:hint="eastAsia" w:cs="Times New Roman"/>
          <w:sz w:val="24"/>
          <w:szCs w:val="24"/>
        </w:rPr>
        <w:t>3.2.</w:t>
      </w:r>
      <w:r>
        <w:rPr>
          <w:rFonts w:cs="Times New Roman"/>
          <w:sz w:val="24"/>
          <w:szCs w:val="24"/>
        </w:rPr>
        <w:t xml:space="preserve">7 </w:t>
      </w:r>
      <w:r>
        <w:rPr>
          <w:rFonts w:hint="eastAsia" w:cs="Times New Roman"/>
          <w:sz w:val="24"/>
          <w:szCs w:val="24"/>
        </w:rPr>
        <w:t>附录A</w:t>
      </w:r>
      <w:bookmarkEnd w:id="44"/>
      <w:bookmarkEnd w:id="45"/>
    </w:p>
    <w:p>
      <w:pPr>
        <w:spacing w:line="500" w:lineRule="exact"/>
        <w:ind w:firstLine="480" w:firstLineChars="200"/>
        <w:rPr>
          <w:sz w:val="24"/>
        </w:rPr>
      </w:pPr>
      <w:r>
        <w:rPr>
          <w:rFonts w:hint="eastAsia"/>
          <w:sz w:val="24"/>
        </w:rPr>
        <w:t>附录A为规范性附录，是评价指标要求中的部分指标计算方法。</w:t>
      </w:r>
    </w:p>
    <w:p>
      <w:pPr>
        <w:pStyle w:val="40"/>
        <w:spacing w:line="500" w:lineRule="exact"/>
        <w:rPr>
          <w:rFonts w:cs="Times New Roman"/>
          <w:sz w:val="24"/>
          <w:szCs w:val="24"/>
        </w:rPr>
      </w:pPr>
      <w:bookmarkStart w:id="46" w:name="_Toc46485322"/>
      <w:bookmarkStart w:id="47" w:name="_Toc66714170"/>
      <w:r>
        <w:rPr>
          <w:rFonts w:hint="eastAsia" w:cs="Times New Roman"/>
          <w:sz w:val="24"/>
          <w:szCs w:val="24"/>
        </w:rPr>
        <w:t>3.2.</w:t>
      </w:r>
      <w:r>
        <w:rPr>
          <w:rFonts w:cs="Times New Roman"/>
          <w:sz w:val="24"/>
          <w:szCs w:val="24"/>
        </w:rPr>
        <w:t xml:space="preserve">8 </w:t>
      </w:r>
      <w:r>
        <w:rPr>
          <w:rFonts w:hint="eastAsia" w:cs="Times New Roman"/>
          <w:sz w:val="24"/>
          <w:szCs w:val="24"/>
        </w:rPr>
        <w:t>附录B</w:t>
      </w:r>
      <w:bookmarkEnd w:id="46"/>
      <w:bookmarkEnd w:id="47"/>
    </w:p>
    <w:p>
      <w:pPr>
        <w:spacing w:line="500" w:lineRule="exact"/>
        <w:ind w:firstLine="480" w:firstLineChars="200"/>
        <w:rPr>
          <w:sz w:val="24"/>
        </w:rPr>
      </w:pPr>
      <w:r>
        <w:rPr>
          <w:rFonts w:hint="eastAsia"/>
          <w:sz w:val="24"/>
        </w:rPr>
        <w:t>附录B为资料性附录，是</w:t>
      </w:r>
      <w:r>
        <w:rPr>
          <w:rFonts w:hint="eastAsia"/>
          <w:sz w:val="24"/>
          <w:lang w:eastAsia="zh-CN"/>
        </w:rPr>
        <w:t>镁碳砖</w:t>
      </w:r>
      <w:r>
        <w:rPr>
          <w:rFonts w:hint="eastAsia"/>
          <w:sz w:val="24"/>
        </w:rPr>
        <w:t>产品编制生命周期评价报告的方法和依据。附录B依据G</w:t>
      </w:r>
      <w:r>
        <w:rPr>
          <w:sz w:val="24"/>
        </w:rPr>
        <w:t xml:space="preserve">B/T </w:t>
      </w:r>
      <w:r>
        <w:rPr>
          <w:rFonts w:hint="eastAsia"/>
          <w:sz w:val="24"/>
        </w:rPr>
        <w:t>32161-2015《生态设计产品评价通则》和G</w:t>
      </w:r>
      <w:r>
        <w:rPr>
          <w:sz w:val="24"/>
        </w:rPr>
        <w:t>B</w:t>
      </w:r>
      <w:r>
        <w:rPr>
          <w:rFonts w:hint="eastAsia"/>
          <w:sz w:val="24"/>
        </w:rPr>
        <w:t>/</w:t>
      </w:r>
      <w:r>
        <w:rPr>
          <w:sz w:val="24"/>
        </w:rPr>
        <w:t xml:space="preserve">T </w:t>
      </w:r>
      <w:r>
        <w:rPr>
          <w:rFonts w:hint="eastAsia"/>
          <w:sz w:val="24"/>
        </w:rPr>
        <w:t>24040《环境管理+生命周期评价原则与框架》编制而成，包括目的和范围的确定、生命周期清单分析、生命周期影响评价及生命周期解释和报告阶段。</w:t>
      </w:r>
    </w:p>
    <w:p>
      <w:pPr>
        <w:pStyle w:val="41"/>
        <w:spacing w:line="500" w:lineRule="exact"/>
        <w:rPr>
          <w:rFonts w:ascii="Times New Roman" w:hAnsi="Times New Roman" w:cs="Times New Roman"/>
          <w:sz w:val="24"/>
          <w:szCs w:val="24"/>
        </w:rPr>
      </w:pPr>
      <w:r>
        <w:rPr>
          <w:rFonts w:hint="eastAsia" w:ascii="Times New Roman" w:hAnsi="Times New Roman" w:cs="Times New Roman"/>
          <w:sz w:val="24"/>
          <w:szCs w:val="24"/>
        </w:rPr>
        <w:t>3.2.</w:t>
      </w:r>
      <w:r>
        <w:rPr>
          <w:rFonts w:ascii="Times New Roman" w:hAnsi="Times New Roman" w:cs="Times New Roman"/>
          <w:sz w:val="24"/>
          <w:szCs w:val="24"/>
        </w:rPr>
        <w:t>8</w:t>
      </w:r>
      <w:r>
        <w:rPr>
          <w:rFonts w:hint="eastAsia" w:ascii="Times New Roman" w:hAnsi="Times New Roman" w:cs="Times New Roman"/>
          <w:sz w:val="24"/>
          <w:szCs w:val="24"/>
        </w:rPr>
        <w:t>.1</w:t>
      </w:r>
      <w:r>
        <w:rPr>
          <w:rFonts w:ascii="Times New Roman" w:hAnsi="Times New Roman" w:cs="Times New Roman"/>
          <w:sz w:val="24"/>
          <w:szCs w:val="24"/>
        </w:rPr>
        <w:t xml:space="preserve"> </w:t>
      </w:r>
      <w:r>
        <w:rPr>
          <w:rFonts w:hint="eastAsia" w:ascii="Times New Roman" w:hAnsi="Times New Roman" w:cs="Times New Roman"/>
          <w:sz w:val="24"/>
          <w:szCs w:val="24"/>
        </w:rPr>
        <w:t>总则</w:t>
      </w:r>
    </w:p>
    <w:p>
      <w:pPr>
        <w:spacing w:line="500" w:lineRule="exact"/>
        <w:ind w:firstLine="480" w:firstLineChars="200"/>
        <w:rPr>
          <w:sz w:val="24"/>
        </w:rPr>
      </w:pPr>
      <w:bookmarkStart w:id="48" w:name="_Hlk64723781"/>
      <w:r>
        <w:rPr>
          <w:rFonts w:hint="eastAsia"/>
          <w:sz w:val="24"/>
        </w:rPr>
        <w:t>总则给出了依据本标准进行生命周期评价时的总体要求。</w:t>
      </w:r>
    </w:p>
    <w:bookmarkEnd w:id="48"/>
    <w:p>
      <w:pPr>
        <w:pStyle w:val="41"/>
        <w:spacing w:line="500" w:lineRule="exact"/>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hAnsi="Times New Roman" w:cs="Times New Roman"/>
          <w:sz w:val="24"/>
          <w:szCs w:val="24"/>
        </w:rPr>
        <w:t xml:space="preserve">.2.8.2 </w:t>
      </w:r>
      <w:r>
        <w:rPr>
          <w:rFonts w:hint="eastAsia" w:ascii="Times New Roman" w:hAnsi="Times New Roman" w:cs="Times New Roman"/>
          <w:sz w:val="24"/>
          <w:szCs w:val="24"/>
        </w:rPr>
        <w:t>目的和范围的确定</w:t>
      </w:r>
    </w:p>
    <w:p>
      <w:pPr>
        <w:spacing w:line="500" w:lineRule="exact"/>
        <w:ind w:firstLine="480" w:firstLineChars="200"/>
        <w:rPr>
          <w:sz w:val="24"/>
        </w:rPr>
      </w:pPr>
      <w:r>
        <w:rPr>
          <w:rFonts w:hint="eastAsia"/>
          <w:sz w:val="24"/>
        </w:rPr>
        <w:t>目的与范围的确定是生命周期评价中的第一步，也是至为重要的一步，其重要性在于它决定为何要进行某项生命周期评价（包括对其结果的应用意图），并表述所要研究的系统和数据类型。</w:t>
      </w:r>
    </w:p>
    <w:p>
      <w:pPr>
        <w:spacing w:line="500" w:lineRule="exact"/>
        <w:ind w:firstLine="480" w:firstLineChars="200"/>
        <w:rPr>
          <w:sz w:val="24"/>
        </w:rPr>
      </w:pPr>
      <w:r>
        <w:rPr>
          <w:rFonts w:hint="eastAsia"/>
          <w:sz w:val="24"/>
        </w:rPr>
        <w:t>（1）目的</w:t>
      </w:r>
    </w:p>
    <w:p>
      <w:pPr>
        <w:spacing w:line="500" w:lineRule="exact"/>
        <w:ind w:firstLine="480" w:firstLineChars="200"/>
        <w:rPr>
          <w:kern w:val="0"/>
          <w:sz w:val="24"/>
        </w:rPr>
      </w:pPr>
      <w:r>
        <w:rPr>
          <w:sz w:val="24"/>
        </w:rPr>
        <w:t xml:space="preserve">GB/T </w:t>
      </w:r>
      <w:r>
        <w:rPr>
          <w:rFonts w:hint="eastAsia"/>
          <w:sz w:val="24"/>
        </w:rPr>
        <w:t>24040中要求，研究目的中须明确陈述其应用意图，开展该项研究的理由以及它的使用对象。因此本标准的目的为</w:t>
      </w:r>
      <w:r>
        <w:rPr>
          <w:kern w:val="0"/>
          <w:sz w:val="24"/>
        </w:rPr>
        <w:t>通过</w:t>
      </w:r>
      <w:r>
        <w:rPr>
          <w:rFonts w:hint="eastAsia"/>
          <w:kern w:val="0"/>
          <w:sz w:val="24"/>
        </w:rPr>
        <w:t>评价</w:t>
      </w:r>
      <w:r>
        <w:rPr>
          <w:rFonts w:hint="eastAsia"/>
          <w:kern w:val="0"/>
          <w:sz w:val="24"/>
          <w:lang w:eastAsia="zh-CN"/>
        </w:rPr>
        <w:t>镁碳砖</w:t>
      </w:r>
      <w:r>
        <w:rPr>
          <w:rFonts w:hint="eastAsia"/>
          <w:kern w:val="0"/>
          <w:sz w:val="24"/>
        </w:rPr>
        <w:t>全生命周期的环境影响大小，提出绿色设计或生态化改进方案，</w:t>
      </w:r>
      <w:r>
        <w:rPr>
          <w:kern w:val="0"/>
          <w:sz w:val="24"/>
        </w:rPr>
        <w:t>从而可为提升和改善</w:t>
      </w:r>
      <w:r>
        <w:rPr>
          <w:rFonts w:hint="eastAsia"/>
          <w:kern w:val="0"/>
          <w:sz w:val="24"/>
          <w:lang w:eastAsia="zh-CN"/>
        </w:rPr>
        <w:t>镁碳砖</w:t>
      </w:r>
      <w:r>
        <w:rPr>
          <w:kern w:val="0"/>
          <w:sz w:val="24"/>
        </w:rPr>
        <w:t>的</w:t>
      </w:r>
      <w:r>
        <w:rPr>
          <w:rFonts w:hint="eastAsia"/>
          <w:kern w:val="0"/>
          <w:sz w:val="24"/>
        </w:rPr>
        <w:t>绿色设计提供依据。使用对象为</w:t>
      </w:r>
      <w:r>
        <w:rPr>
          <w:rFonts w:hint="eastAsia"/>
          <w:kern w:val="0"/>
          <w:sz w:val="24"/>
          <w:lang w:eastAsia="zh-CN"/>
        </w:rPr>
        <w:t>镁碳砖</w:t>
      </w:r>
      <w:r>
        <w:rPr>
          <w:rFonts w:hint="eastAsia"/>
          <w:kern w:val="0"/>
          <w:sz w:val="24"/>
        </w:rPr>
        <w:t>的生产商。</w:t>
      </w:r>
    </w:p>
    <w:p>
      <w:pPr>
        <w:spacing w:line="500" w:lineRule="exact"/>
        <w:ind w:firstLine="480" w:firstLineChars="200"/>
        <w:rPr>
          <w:kern w:val="0"/>
          <w:sz w:val="24"/>
        </w:rPr>
      </w:pPr>
      <w:r>
        <w:rPr>
          <w:rFonts w:hint="eastAsia"/>
          <w:kern w:val="0"/>
          <w:sz w:val="24"/>
        </w:rPr>
        <w:t>（2）范围</w:t>
      </w:r>
    </w:p>
    <w:p>
      <w:pPr>
        <w:spacing w:line="500" w:lineRule="exact"/>
        <w:ind w:firstLine="480" w:firstLineChars="200"/>
        <w:rPr>
          <w:kern w:val="0"/>
          <w:sz w:val="24"/>
        </w:rPr>
      </w:pPr>
      <w:r>
        <w:rPr>
          <w:rFonts w:hint="eastAsia"/>
          <w:kern w:val="0"/>
          <w:sz w:val="24"/>
        </w:rPr>
        <w:t>研究范围依据目的确定，需要分析的因素主要有：研究范围的修改及论证、功能、功能单位、系统边界、数据类型、输入输出初步选择准则、数据质量要求等。据此，本标准将功能单位定义为可测量的生产1吨（t）</w:t>
      </w:r>
      <w:r>
        <w:rPr>
          <w:rFonts w:hint="eastAsia"/>
          <w:kern w:val="0"/>
          <w:sz w:val="24"/>
          <w:lang w:eastAsia="zh-CN"/>
        </w:rPr>
        <w:t>镁碳砖</w:t>
      </w:r>
      <w:r>
        <w:rPr>
          <w:rFonts w:hint="eastAsia"/>
          <w:kern w:val="0"/>
          <w:sz w:val="24"/>
        </w:rPr>
        <w:t>，来为输入和输出提供参照基准，以保证结果的可比性。</w:t>
      </w:r>
    </w:p>
    <w:p>
      <w:pPr>
        <w:spacing w:line="500" w:lineRule="exact"/>
        <w:ind w:firstLine="480" w:firstLineChars="200"/>
        <w:rPr>
          <w:kern w:val="0"/>
          <w:sz w:val="24"/>
        </w:rPr>
      </w:pPr>
      <w:r>
        <w:rPr>
          <w:rFonts w:hint="eastAsia"/>
          <w:kern w:val="0"/>
          <w:sz w:val="24"/>
        </w:rPr>
        <w:t>（3）系统边界</w:t>
      </w:r>
    </w:p>
    <w:p>
      <w:pPr>
        <w:spacing w:line="500" w:lineRule="exact"/>
        <w:ind w:firstLine="480" w:firstLineChars="200"/>
        <w:rPr>
          <w:kern w:val="0"/>
          <w:sz w:val="24"/>
        </w:rPr>
      </w:pPr>
      <w:r>
        <w:rPr>
          <w:rFonts w:hint="eastAsia"/>
          <w:kern w:val="0"/>
          <w:sz w:val="24"/>
        </w:rPr>
        <w:t>确定系统边界，即确定要纳入到模型化系统的单元过程。在理想情况下，建立产品系统的模型时，应使其边界上的输入和输出均为基本流。</w:t>
      </w:r>
      <w:r>
        <w:rPr>
          <w:rFonts w:hint="eastAsia"/>
          <w:kern w:val="0"/>
          <w:sz w:val="24"/>
          <w:lang w:eastAsia="zh-CN"/>
        </w:rPr>
        <w:t>镁碳砖</w:t>
      </w:r>
      <w:r>
        <w:rPr>
          <w:rFonts w:hint="eastAsia"/>
          <w:kern w:val="0"/>
          <w:sz w:val="24"/>
        </w:rPr>
        <w:t>产品全生命周期可划分为原材料获取、能源获取、运输、产品生产、产品使用以及回收再利用等过程，其中各部分具体内容如下：</w:t>
      </w:r>
    </w:p>
    <w:p>
      <w:pPr>
        <w:pStyle w:val="50"/>
        <w:numPr>
          <w:ilvl w:val="0"/>
          <w:numId w:val="1"/>
        </w:numPr>
        <w:spacing w:line="500" w:lineRule="exact"/>
        <w:ind w:firstLineChars="0"/>
        <w:rPr>
          <w:kern w:val="0"/>
          <w:sz w:val="24"/>
        </w:rPr>
      </w:pPr>
      <w:r>
        <w:rPr>
          <w:kern w:val="0"/>
          <w:sz w:val="24"/>
        </w:rPr>
        <w:t>原材料获取：产品生产过程中消耗的主要原材料的开采及生产过程；</w:t>
      </w:r>
    </w:p>
    <w:p>
      <w:pPr>
        <w:pStyle w:val="50"/>
        <w:numPr>
          <w:ilvl w:val="0"/>
          <w:numId w:val="1"/>
        </w:numPr>
        <w:spacing w:line="500" w:lineRule="exact"/>
        <w:ind w:firstLineChars="0"/>
        <w:rPr>
          <w:kern w:val="0"/>
          <w:sz w:val="24"/>
        </w:rPr>
      </w:pPr>
      <w:r>
        <w:rPr>
          <w:kern w:val="0"/>
          <w:sz w:val="24"/>
        </w:rPr>
        <w:t>能源获取：</w:t>
      </w:r>
      <w:r>
        <w:rPr>
          <w:rFonts w:hint="eastAsia"/>
          <w:kern w:val="0"/>
          <w:sz w:val="24"/>
        </w:rPr>
        <w:t>所用天然气、燃煤、汽油、燃料油、电力等能源的开采及生产过程</w:t>
      </w:r>
      <w:r>
        <w:rPr>
          <w:kern w:val="0"/>
          <w:sz w:val="24"/>
        </w:rPr>
        <w:t>；</w:t>
      </w:r>
    </w:p>
    <w:p>
      <w:pPr>
        <w:pStyle w:val="50"/>
        <w:numPr>
          <w:ilvl w:val="0"/>
          <w:numId w:val="1"/>
        </w:numPr>
        <w:spacing w:line="500" w:lineRule="exact"/>
        <w:ind w:firstLineChars="0"/>
        <w:rPr>
          <w:kern w:val="0"/>
          <w:sz w:val="24"/>
        </w:rPr>
      </w:pPr>
      <w:r>
        <w:rPr>
          <w:kern w:val="0"/>
          <w:sz w:val="24"/>
        </w:rPr>
        <w:t>运输：主要原材料</w:t>
      </w:r>
      <w:r>
        <w:rPr>
          <w:rFonts w:hint="eastAsia"/>
          <w:kern w:val="0"/>
          <w:sz w:val="24"/>
        </w:rPr>
        <w:t>及</w:t>
      </w:r>
      <w:r>
        <w:rPr>
          <w:kern w:val="0"/>
          <w:sz w:val="24"/>
        </w:rPr>
        <w:t>能源的运输过程；</w:t>
      </w:r>
    </w:p>
    <w:p>
      <w:pPr>
        <w:pStyle w:val="50"/>
        <w:numPr>
          <w:ilvl w:val="0"/>
          <w:numId w:val="1"/>
        </w:numPr>
        <w:spacing w:line="500" w:lineRule="exact"/>
        <w:ind w:firstLineChars="0"/>
        <w:rPr>
          <w:kern w:val="0"/>
          <w:sz w:val="24"/>
        </w:rPr>
      </w:pPr>
      <w:r>
        <w:rPr>
          <w:kern w:val="0"/>
          <w:sz w:val="24"/>
        </w:rPr>
        <w:t>产品生产：产品生产所涵盖的全部工序。</w:t>
      </w:r>
    </w:p>
    <w:p>
      <w:pPr>
        <w:pStyle w:val="50"/>
        <w:numPr>
          <w:ilvl w:val="0"/>
          <w:numId w:val="1"/>
        </w:numPr>
        <w:spacing w:line="500" w:lineRule="exact"/>
        <w:ind w:firstLineChars="0"/>
        <w:rPr>
          <w:kern w:val="0"/>
          <w:sz w:val="24"/>
        </w:rPr>
      </w:pPr>
      <w:r>
        <w:rPr>
          <w:kern w:val="0"/>
          <w:sz w:val="24"/>
        </w:rPr>
        <w:t>产品使用：产品出厂后的运输、使用与维护过程；</w:t>
      </w:r>
    </w:p>
    <w:p>
      <w:pPr>
        <w:pStyle w:val="50"/>
        <w:numPr>
          <w:ilvl w:val="0"/>
          <w:numId w:val="1"/>
        </w:numPr>
        <w:spacing w:line="500" w:lineRule="exact"/>
        <w:ind w:firstLineChars="0"/>
        <w:rPr>
          <w:kern w:val="0"/>
          <w:sz w:val="24"/>
        </w:rPr>
      </w:pPr>
      <w:r>
        <w:rPr>
          <w:rFonts w:hint="eastAsia"/>
          <w:kern w:val="0"/>
          <w:sz w:val="24"/>
        </w:rPr>
        <w:t>回收再利用</w:t>
      </w:r>
      <w:r>
        <w:rPr>
          <w:kern w:val="0"/>
          <w:sz w:val="24"/>
        </w:rPr>
        <w:t>：产品报废、回收、循环利用与最终处置过程。</w:t>
      </w:r>
    </w:p>
    <w:p>
      <w:pPr>
        <w:spacing w:line="500" w:lineRule="exact"/>
        <w:ind w:firstLine="480" w:firstLineChars="200"/>
        <w:rPr>
          <w:kern w:val="0"/>
          <w:sz w:val="24"/>
        </w:rPr>
      </w:pPr>
      <w:r>
        <w:rPr>
          <w:rFonts w:hint="eastAsia"/>
          <w:kern w:val="0"/>
          <w:sz w:val="24"/>
        </w:rPr>
        <w:t>由于</w:t>
      </w:r>
      <w:r>
        <w:rPr>
          <w:rFonts w:hint="eastAsia"/>
          <w:kern w:val="0"/>
          <w:sz w:val="24"/>
          <w:lang w:eastAsia="zh-CN"/>
        </w:rPr>
        <w:t>镁碳砖</w:t>
      </w:r>
      <w:r>
        <w:rPr>
          <w:rFonts w:hint="eastAsia"/>
          <w:kern w:val="0"/>
          <w:sz w:val="24"/>
        </w:rPr>
        <w:t>产品是非终端消费品，其使用、废弃和回收过程的环境影响难以获取，故本标准界定的系统边界为“从摇篮到大门”的生命周期过程，即包括但不限于原材料、能源的获取，运输、产品生产。</w:t>
      </w:r>
    </w:p>
    <w:p>
      <w:pPr>
        <w:spacing w:line="500" w:lineRule="exact"/>
        <w:ind w:firstLine="480" w:firstLineChars="200"/>
        <w:rPr>
          <w:kern w:val="0"/>
          <w:sz w:val="24"/>
        </w:rPr>
      </w:pPr>
      <w:r>
        <w:rPr>
          <w:rFonts w:hint="eastAsia"/>
          <w:kern w:val="0"/>
          <w:sz w:val="24"/>
        </w:rPr>
        <w:t>（4）数据取舍原则</w:t>
      </w:r>
    </w:p>
    <w:p>
      <w:pPr>
        <w:spacing w:line="500" w:lineRule="exact"/>
        <w:ind w:firstLine="480" w:firstLineChars="200"/>
        <w:rPr>
          <w:kern w:val="0"/>
          <w:sz w:val="24"/>
        </w:rPr>
      </w:pPr>
      <w:r>
        <w:rPr>
          <w:rFonts w:hint="eastAsia"/>
          <w:kern w:val="0"/>
          <w:sz w:val="24"/>
        </w:rPr>
        <w:t>数据质量要求是生命周期评价可信度的保障。这里的数据是指在评估中用到的所有定性和定量的数值或信息，这些数据可能来自测量到的环境清单数据，也可以是中间的处理结果。针对数据采集过程中所涉及的物质（能量）数据设定了相应的取舍准则，如下所示：</w:t>
      </w:r>
    </w:p>
    <w:p>
      <w:pPr>
        <w:spacing w:line="500" w:lineRule="exact"/>
        <w:ind w:firstLine="480" w:firstLineChars="200"/>
        <w:rPr>
          <w:kern w:val="0"/>
          <w:sz w:val="24"/>
        </w:rPr>
      </w:pPr>
      <w:r>
        <w:rPr>
          <w:rFonts w:hint="eastAsia"/>
          <w:kern w:val="0"/>
          <w:sz w:val="24"/>
        </w:rPr>
        <w:t>a)</w:t>
      </w:r>
      <w:r>
        <w:rPr>
          <w:rFonts w:hint="eastAsia"/>
          <w:kern w:val="0"/>
          <w:sz w:val="24"/>
        </w:rPr>
        <w:tab/>
      </w:r>
      <w:r>
        <w:rPr>
          <w:rFonts w:hint="eastAsia"/>
          <w:kern w:val="0"/>
          <w:sz w:val="24"/>
        </w:rPr>
        <w:t>所有的能源输入均需列出，包括使用的含能废弃物；</w:t>
      </w:r>
    </w:p>
    <w:p>
      <w:pPr>
        <w:spacing w:line="500" w:lineRule="exact"/>
        <w:ind w:firstLine="480" w:firstLineChars="200"/>
        <w:rPr>
          <w:kern w:val="0"/>
          <w:sz w:val="24"/>
        </w:rPr>
      </w:pPr>
      <w:r>
        <w:rPr>
          <w:rFonts w:hint="eastAsia"/>
          <w:kern w:val="0"/>
          <w:sz w:val="24"/>
        </w:rPr>
        <w:t>b)</w:t>
      </w:r>
      <w:r>
        <w:rPr>
          <w:rFonts w:hint="eastAsia"/>
          <w:kern w:val="0"/>
          <w:sz w:val="24"/>
        </w:rPr>
        <w:tab/>
      </w:r>
      <w:r>
        <w:rPr>
          <w:rFonts w:hint="eastAsia"/>
          <w:kern w:val="0"/>
          <w:sz w:val="24"/>
        </w:rPr>
        <w:t>应列出主要的原材料输入，符合准则可忽略；</w:t>
      </w:r>
    </w:p>
    <w:p>
      <w:pPr>
        <w:spacing w:line="500" w:lineRule="exact"/>
        <w:ind w:firstLine="480" w:firstLineChars="200"/>
        <w:rPr>
          <w:kern w:val="0"/>
          <w:sz w:val="24"/>
        </w:rPr>
      </w:pPr>
      <w:r>
        <w:rPr>
          <w:rFonts w:hint="eastAsia"/>
          <w:kern w:val="0"/>
          <w:sz w:val="24"/>
        </w:rPr>
        <w:t>c)</w:t>
      </w:r>
      <w:r>
        <w:rPr>
          <w:rFonts w:hint="eastAsia"/>
          <w:kern w:val="0"/>
          <w:sz w:val="24"/>
        </w:rPr>
        <w:tab/>
      </w:r>
      <w:r>
        <w:rPr>
          <w:rFonts w:hint="eastAsia"/>
          <w:kern w:val="0"/>
          <w:sz w:val="24"/>
        </w:rPr>
        <w:t>国家或地方相关标准规定的大气、水体、土壤的各种污染物和固体废弃物均需列出；</w:t>
      </w:r>
    </w:p>
    <w:p>
      <w:pPr>
        <w:spacing w:line="500" w:lineRule="exact"/>
        <w:ind w:firstLine="480" w:firstLineChars="200"/>
        <w:rPr>
          <w:kern w:val="0"/>
          <w:sz w:val="24"/>
        </w:rPr>
      </w:pPr>
      <w:r>
        <w:rPr>
          <w:rFonts w:hint="eastAsia"/>
          <w:kern w:val="0"/>
          <w:sz w:val="24"/>
        </w:rPr>
        <w:t>d)</w:t>
      </w:r>
      <w:r>
        <w:rPr>
          <w:rFonts w:hint="eastAsia"/>
          <w:kern w:val="0"/>
          <w:sz w:val="24"/>
        </w:rPr>
        <w:tab/>
      </w:r>
      <w:r>
        <w:rPr>
          <w:rFonts w:hint="eastAsia"/>
          <w:kern w:val="0"/>
          <w:sz w:val="24"/>
        </w:rPr>
        <w:t>任何有毒有害物质均不可忽略；</w:t>
      </w:r>
    </w:p>
    <w:p>
      <w:pPr>
        <w:spacing w:line="500" w:lineRule="exact"/>
        <w:ind w:firstLine="480" w:firstLineChars="200"/>
        <w:rPr>
          <w:kern w:val="0"/>
          <w:sz w:val="24"/>
        </w:rPr>
      </w:pPr>
      <w:r>
        <w:rPr>
          <w:rFonts w:hint="eastAsia"/>
          <w:kern w:val="0"/>
          <w:sz w:val="24"/>
        </w:rPr>
        <w:t>e)</w:t>
      </w:r>
      <w:r>
        <w:rPr>
          <w:rFonts w:hint="eastAsia"/>
          <w:kern w:val="0"/>
          <w:sz w:val="24"/>
        </w:rPr>
        <w:tab/>
      </w:r>
      <w:r>
        <w:rPr>
          <w:rFonts w:hint="eastAsia"/>
          <w:kern w:val="0"/>
          <w:sz w:val="24"/>
        </w:rPr>
        <w:t>忽略的单项物质（能量）流或单元过程对环境影响的贡献均不得超过1%；</w:t>
      </w:r>
    </w:p>
    <w:p>
      <w:pPr>
        <w:spacing w:line="500" w:lineRule="exact"/>
        <w:ind w:firstLine="480" w:firstLineChars="200"/>
        <w:rPr>
          <w:kern w:val="0"/>
          <w:sz w:val="24"/>
        </w:rPr>
      </w:pPr>
      <w:r>
        <w:rPr>
          <w:rFonts w:hint="eastAsia"/>
          <w:kern w:val="0"/>
          <w:sz w:val="24"/>
        </w:rPr>
        <w:t>f)</w:t>
      </w:r>
      <w:r>
        <w:rPr>
          <w:rFonts w:hint="eastAsia"/>
          <w:kern w:val="0"/>
          <w:sz w:val="24"/>
        </w:rPr>
        <w:tab/>
      </w:r>
      <w:r>
        <w:rPr>
          <w:rFonts w:hint="eastAsia"/>
          <w:kern w:val="0"/>
          <w:sz w:val="24"/>
        </w:rPr>
        <w:t>所有忽略的物质（能量）流与单元过程对环境影响贡献总和不超过5%，且应予以说明。</w:t>
      </w:r>
    </w:p>
    <w:p>
      <w:pPr>
        <w:pStyle w:val="41"/>
        <w:spacing w:line="500" w:lineRule="exact"/>
        <w:rPr>
          <w:rFonts w:ascii="Times New Roman"/>
          <w:sz w:val="24"/>
          <w:szCs w:val="24"/>
        </w:rPr>
      </w:pPr>
      <w:r>
        <w:rPr>
          <w:rFonts w:hint="eastAsia" w:ascii="Times New Roman" w:hAnsi="Times New Roman" w:cs="Times New Roman"/>
          <w:sz w:val="24"/>
          <w:szCs w:val="24"/>
        </w:rPr>
        <w:t>3.2.</w:t>
      </w:r>
      <w:r>
        <w:rPr>
          <w:rFonts w:ascii="Times New Roman" w:hAnsi="Times New Roman" w:cs="Times New Roman"/>
          <w:sz w:val="24"/>
          <w:szCs w:val="24"/>
        </w:rPr>
        <w:t>8</w:t>
      </w:r>
      <w:r>
        <w:rPr>
          <w:rFonts w:hint="eastAsia" w:ascii="Times New Roman" w:hAnsi="Times New Roman" w:cs="Times New Roman"/>
          <w:sz w:val="24"/>
          <w:szCs w:val="24"/>
        </w:rPr>
        <w:t>.</w:t>
      </w:r>
      <w:r>
        <w:rPr>
          <w:rFonts w:ascii="Times New Roman" w:hAnsi="Times New Roman" w:cs="Times New Roman"/>
          <w:sz w:val="24"/>
          <w:szCs w:val="24"/>
        </w:rPr>
        <w:t>3</w:t>
      </w:r>
      <w:r>
        <w:rPr>
          <w:rFonts w:ascii="Times New Roman"/>
          <w:sz w:val="24"/>
          <w:szCs w:val="24"/>
        </w:rPr>
        <w:t>生命周期清单分析</w:t>
      </w:r>
    </w:p>
    <w:p>
      <w:pPr>
        <w:spacing w:line="500" w:lineRule="exact"/>
        <w:ind w:firstLine="480" w:firstLineChars="200"/>
        <w:rPr>
          <w:kern w:val="0"/>
          <w:sz w:val="24"/>
        </w:rPr>
      </w:pPr>
      <w:r>
        <w:rPr>
          <w:rFonts w:hint="eastAsia"/>
          <w:kern w:val="0"/>
          <w:sz w:val="24"/>
        </w:rPr>
        <w:t>生命周期清单分析（Life Cycle Inventroy, LCI）是生命周期评价过程的第二步，涉及到数据的收集和计算程序。是对产品、工艺流程、活动等研究系统整个生命周期阶段的资源和能源使用以及向环境（如：空气、水、土壤）排放的废弃物进行定性、定量的分析过程。目的是对产品系统的有关输入和输出进行量化。根据预先确定的研究目的和范围需要来确定。</w:t>
      </w:r>
      <w:r>
        <w:rPr>
          <w:kern w:val="0"/>
          <w:sz w:val="24"/>
        </w:rPr>
        <w:t xml:space="preserve"> </w:t>
      </w:r>
    </w:p>
    <w:p>
      <w:pPr>
        <w:spacing w:line="500" w:lineRule="exact"/>
        <w:ind w:firstLine="480" w:firstLineChars="200"/>
        <w:rPr>
          <w:kern w:val="0"/>
          <w:sz w:val="24"/>
        </w:rPr>
      </w:pPr>
      <w:r>
        <w:rPr>
          <w:rFonts w:hint="eastAsia"/>
          <w:kern w:val="0"/>
          <w:sz w:val="24"/>
        </w:rPr>
        <w:t>（1）数据采集</w:t>
      </w:r>
    </w:p>
    <w:p>
      <w:pPr>
        <w:spacing w:line="500" w:lineRule="exact"/>
        <w:ind w:firstLine="480" w:firstLineChars="200"/>
        <w:rPr>
          <w:kern w:val="0"/>
          <w:sz w:val="24"/>
        </w:rPr>
      </w:pPr>
      <w:r>
        <w:rPr>
          <w:rFonts w:hint="eastAsia"/>
          <w:kern w:val="0"/>
          <w:sz w:val="24"/>
        </w:rPr>
        <w:t>数据采集类型包括输入和输出，其中输入包括能量输入、原材料输入，辅助性输入，其他物理输入；输出报告产品以及大气污染物、水体污染物、固体废弃物以及其他环境因素。同时数据按照来源可以分为现场数据和背景数据。标准的附录C和附录</w:t>
      </w:r>
      <w:r>
        <w:rPr>
          <w:kern w:val="0"/>
          <w:sz w:val="24"/>
        </w:rPr>
        <w:t>D</w:t>
      </w:r>
      <w:r>
        <w:rPr>
          <w:rFonts w:hint="eastAsia"/>
          <w:kern w:val="0"/>
          <w:sz w:val="24"/>
        </w:rPr>
        <w:t>提供了数据采集格式，其中现场采集数据按附录C中表C.1格式采集，背景数据按附录D中表D.1格式采集，对数据的获得方式和来源均应予以说明。在采集过程中，应对缺失的数据进行合理填补，并说明数据填补方法。</w:t>
      </w:r>
    </w:p>
    <w:p>
      <w:pPr>
        <w:spacing w:line="500" w:lineRule="exact"/>
        <w:ind w:firstLine="480" w:firstLineChars="200"/>
        <w:rPr>
          <w:kern w:val="0"/>
          <w:sz w:val="24"/>
        </w:rPr>
      </w:pPr>
      <w:r>
        <w:rPr>
          <w:rFonts w:hint="eastAsia"/>
          <w:kern w:val="0"/>
          <w:sz w:val="24"/>
        </w:rPr>
        <w:t>（2）数据质量要求</w:t>
      </w:r>
    </w:p>
    <w:p>
      <w:pPr>
        <w:spacing w:line="500" w:lineRule="exact"/>
        <w:ind w:firstLine="480" w:firstLineChars="200"/>
        <w:rPr>
          <w:kern w:val="0"/>
          <w:sz w:val="24"/>
        </w:rPr>
      </w:pPr>
      <w:r>
        <w:rPr>
          <w:rFonts w:hint="eastAsia"/>
          <w:kern w:val="0"/>
          <w:sz w:val="24"/>
        </w:rPr>
        <w:t>为了保证计算结果可信度，标准对于数据采集质量作出要求，现场数据采集质量应满足完整性、准确性和一致性；背景数据采集质量应满足代表性、完整性和一致性。</w:t>
      </w:r>
    </w:p>
    <w:p>
      <w:pPr>
        <w:spacing w:line="500" w:lineRule="exact"/>
        <w:ind w:firstLine="480" w:firstLineChars="200"/>
        <w:rPr>
          <w:kern w:val="0"/>
          <w:sz w:val="24"/>
        </w:rPr>
      </w:pPr>
      <w:r>
        <w:rPr>
          <w:rFonts w:hint="eastAsia"/>
          <w:kern w:val="0"/>
          <w:sz w:val="24"/>
        </w:rPr>
        <w:t>（</w:t>
      </w:r>
      <w:r>
        <w:rPr>
          <w:kern w:val="0"/>
          <w:sz w:val="24"/>
        </w:rPr>
        <w:t>3</w:t>
      </w:r>
      <w:r>
        <w:rPr>
          <w:rFonts w:hint="eastAsia"/>
          <w:kern w:val="0"/>
          <w:sz w:val="24"/>
        </w:rPr>
        <w:t>）数据验证</w:t>
      </w:r>
    </w:p>
    <w:p>
      <w:pPr>
        <w:spacing w:line="500" w:lineRule="exact"/>
        <w:ind w:firstLine="480" w:firstLineChars="200"/>
        <w:rPr>
          <w:kern w:val="0"/>
          <w:sz w:val="24"/>
        </w:rPr>
      </w:pPr>
      <w:r>
        <w:rPr>
          <w:rFonts w:hint="eastAsia"/>
          <w:kern w:val="0"/>
          <w:sz w:val="24"/>
        </w:rPr>
        <w:t>采集过程中，应验证数据的有效性，通过物料平衡、能量平衡、与历史数据和相近工艺数据对比等方式，确认数据的准确性与合理性。对于异常数据，应分析原因，予以替换，替换的数据应满足数据质量要求。</w:t>
      </w:r>
    </w:p>
    <w:p>
      <w:pPr>
        <w:spacing w:line="500" w:lineRule="exact"/>
        <w:ind w:firstLine="480" w:firstLineChars="200"/>
        <w:rPr>
          <w:kern w:val="0"/>
          <w:sz w:val="24"/>
        </w:rPr>
      </w:pPr>
      <w:r>
        <w:rPr>
          <w:rFonts w:hint="eastAsia"/>
          <w:kern w:val="0"/>
          <w:sz w:val="24"/>
        </w:rPr>
        <w:t>（4）数据计算</w:t>
      </w:r>
    </w:p>
    <w:p>
      <w:pPr>
        <w:spacing w:line="500" w:lineRule="exact"/>
        <w:ind w:firstLine="480" w:firstLineChars="200"/>
        <w:rPr>
          <w:kern w:val="0"/>
          <w:sz w:val="24"/>
        </w:rPr>
      </w:pPr>
      <w:r>
        <w:rPr>
          <w:rFonts w:hint="eastAsia"/>
          <w:kern w:val="0"/>
          <w:sz w:val="24"/>
        </w:rPr>
        <w:t>在数据收集与确认完成后，需要根据计算程序对</w:t>
      </w:r>
      <w:r>
        <w:rPr>
          <w:rFonts w:hint="eastAsia"/>
          <w:kern w:val="0"/>
          <w:sz w:val="24"/>
          <w:lang w:eastAsia="zh-CN"/>
        </w:rPr>
        <w:t>镁碳砖</w:t>
      </w:r>
      <w:r>
        <w:rPr>
          <w:rFonts w:hint="eastAsia"/>
          <w:kern w:val="0"/>
          <w:sz w:val="24"/>
        </w:rPr>
        <w:t>产品系统中每一个单元过程和功能单位求得清单结果。生命周期评价中的清单分析计算程序在确认数据后还需将数据与单元过程、功能单位分别相关联，同时根据流程图和系统边界可以将各单元过程相互关联，从而对整个系统进行计算，即数据合并。这一计算是以统一的功能单位作为该系统所有单元过程中物流、能量流的共同基础，求得系统中所有的输入和输出数据，形成产品生命周期清单，可参见附录</w:t>
      </w:r>
      <w:r>
        <w:rPr>
          <w:kern w:val="0"/>
          <w:sz w:val="24"/>
        </w:rPr>
        <w:t>E</w:t>
      </w:r>
      <w:r>
        <w:rPr>
          <w:rFonts w:hint="eastAsia"/>
          <w:kern w:val="0"/>
          <w:sz w:val="24"/>
        </w:rPr>
        <w:t>。</w:t>
      </w:r>
    </w:p>
    <w:p>
      <w:pPr>
        <w:spacing w:line="500" w:lineRule="exact"/>
        <w:ind w:firstLine="480" w:firstLineChars="200"/>
        <w:rPr>
          <w:kern w:val="0"/>
          <w:sz w:val="24"/>
        </w:rPr>
      </w:pPr>
      <w:r>
        <w:rPr>
          <w:rFonts w:hint="eastAsia"/>
          <w:kern w:val="0"/>
          <w:sz w:val="24"/>
        </w:rPr>
        <w:t>（5）数据分配</w:t>
      </w:r>
    </w:p>
    <w:p>
      <w:pPr>
        <w:spacing w:line="500" w:lineRule="exact"/>
        <w:ind w:firstLine="480" w:firstLineChars="200"/>
        <w:rPr>
          <w:kern w:val="0"/>
          <w:sz w:val="24"/>
        </w:rPr>
      </w:pPr>
      <w:r>
        <w:rPr>
          <w:rFonts w:hint="eastAsia"/>
          <w:kern w:val="0"/>
          <w:sz w:val="24"/>
        </w:rPr>
        <w:t>大部分工业过程都是产出多种产品，并将中间产品和弃置的产品通过再循环用作原材料。当环境负荷要用其中一种或部分产品来表征时，就产生了输入输出数据如何在多个产品或多个系统之间分配的问题。将过程或产品系统中的输入和输出流划分到所研究的产品系统以及一个或更多的其他产品系统中，GB/T 24040《环境管理 生命周期评价 原则与框架》将其定义为分配（allocation）。因此，必须根据既定的方案将物流、能量流和环境排放分配到各个产品。</w:t>
      </w:r>
    </w:p>
    <w:p>
      <w:pPr>
        <w:spacing w:line="500" w:lineRule="exact"/>
        <w:ind w:firstLine="480" w:firstLineChars="200"/>
        <w:rPr>
          <w:kern w:val="0"/>
          <w:sz w:val="24"/>
        </w:rPr>
      </w:pPr>
      <w:r>
        <w:rPr>
          <w:rFonts w:hint="eastAsia"/>
          <w:kern w:val="0"/>
          <w:sz w:val="24"/>
        </w:rPr>
        <w:t>本标准中同一企业生产的多种</w:t>
      </w:r>
      <w:r>
        <w:rPr>
          <w:rFonts w:hint="eastAsia"/>
          <w:kern w:val="0"/>
          <w:sz w:val="24"/>
          <w:lang w:eastAsia="zh-CN"/>
        </w:rPr>
        <w:t>镁碳砖</w:t>
      </w:r>
      <w:r>
        <w:rPr>
          <w:rFonts w:hint="eastAsia"/>
          <w:kern w:val="0"/>
          <w:sz w:val="24"/>
        </w:rPr>
        <w:t>产品互为共生产品，而对于涉及的共生产品清单分配方法应在生命周期评价报告中予以明确说明。</w:t>
      </w:r>
      <w:r>
        <w:rPr>
          <w:rFonts w:hint="eastAsia"/>
          <w:kern w:val="0"/>
          <w:sz w:val="24"/>
          <w:lang w:eastAsia="zh-CN"/>
        </w:rPr>
        <w:t>镁碳砖</w:t>
      </w:r>
      <w:r>
        <w:rPr>
          <w:rFonts w:hint="eastAsia"/>
          <w:kern w:val="0"/>
          <w:sz w:val="24"/>
        </w:rPr>
        <w:t>产品优先采用质量分配法。</w:t>
      </w:r>
    </w:p>
    <w:p>
      <w:pPr>
        <w:pStyle w:val="41"/>
        <w:spacing w:line="500" w:lineRule="exact"/>
        <w:rPr>
          <w:rFonts w:ascii="Times New Roman"/>
          <w:sz w:val="24"/>
          <w:szCs w:val="24"/>
        </w:rPr>
      </w:pPr>
      <w:r>
        <w:rPr>
          <w:rFonts w:hint="eastAsia" w:ascii="Times New Roman" w:hAnsi="Times New Roman" w:cs="Times New Roman"/>
          <w:sz w:val="24"/>
          <w:szCs w:val="24"/>
        </w:rPr>
        <w:t>3.2.</w:t>
      </w:r>
      <w:r>
        <w:rPr>
          <w:rFonts w:ascii="Times New Roman" w:hAnsi="Times New Roman" w:cs="Times New Roman"/>
          <w:sz w:val="24"/>
          <w:szCs w:val="24"/>
        </w:rPr>
        <w:t>8</w:t>
      </w:r>
      <w:r>
        <w:rPr>
          <w:rFonts w:hint="eastAsia" w:ascii="Times New Roman" w:hAnsi="Times New Roman" w:cs="Times New Roman"/>
          <w:sz w:val="24"/>
          <w:szCs w:val="24"/>
        </w:rPr>
        <w:t>.</w:t>
      </w:r>
      <w:r>
        <w:rPr>
          <w:rFonts w:ascii="Times New Roman" w:hAnsi="Times New Roman" w:cs="Times New Roman"/>
          <w:sz w:val="24"/>
          <w:szCs w:val="24"/>
        </w:rPr>
        <w:t>4</w:t>
      </w:r>
      <w:r>
        <w:rPr>
          <w:rFonts w:ascii="Times New Roman"/>
          <w:sz w:val="24"/>
          <w:szCs w:val="24"/>
        </w:rPr>
        <w:t>生命周期影响评价</w:t>
      </w:r>
    </w:p>
    <w:p>
      <w:pPr>
        <w:spacing w:line="500" w:lineRule="exact"/>
        <w:ind w:firstLine="480" w:firstLineChars="200"/>
        <w:rPr>
          <w:sz w:val="24"/>
        </w:rPr>
      </w:pPr>
      <w:r>
        <w:rPr>
          <w:rFonts w:hint="eastAsia"/>
          <w:kern w:val="0"/>
          <w:sz w:val="24"/>
        </w:rPr>
        <w:t>依据</w:t>
      </w:r>
      <w:r>
        <w:rPr>
          <w:rFonts w:hint="eastAsia"/>
          <w:sz w:val="24"/>
        </w:rPr>
        <w:t>G</w:t>
      </w:r>
      <w:r>
        <w:rPr>
          <w:sz w:val="24"/>
        </w:rPr>
        <w:t xml:space="preserve">B/T </w:t>
      </w:r>
      <w:r>
        <w:rPr>
          <w:rFonts w:hint="eastAsia"/>
          <w:sz w:val="24"/>
        </w:rPr>
        <w:t>32161-2015《生态设计产品评价通则》要求，本章包括</w:t>
      </w:r>
      <w:r>
        <w:rPr>
          <w:sz w:val="24"/>
        </w:rPr>
        <w:t>影响类型</w:t>
      </w:r>
      <w:r>
        <w:rPr>
          <w:rFonts w:hint="eastAsia"/>
          <w:sz w:val="24"/>
        </w:rPr>
        <w:t>确定、</w:t>
      </w:r>
      <w:r>
        <w:rPr>
          <w:sz w:val="24"/>
        </w:rPr>
        <w:t>清单指标参数归类</w:t>
      </w:r>
      <w:r>
        <w:rPr>
          <w:rFonts w:hint="eastAsia"/>
          <w:sz w:val="24"/>
        </w:rPr>
        <w:t>、分类评价以及计算方法。</w:t>
      </w:r>
    </w:p>
    <w:p>
      <w:pPr>
        <w:spacing w:line="500" w:lineRule="exact"/>
        <w:ind w:firstLine="480" w:firstLineChars="200"/>
        <w:rPr>
          <w:sz w:val="24"/>
        </w:rPr>
      </w:pPr>
      <w:r>
        <w:rPr>
          <w:rFonts w:hint="eastAsia"/>
          <w:sz w:val="24"/>
        </w:rPr>
        <w:t>（1）影响类型确定</w:t>
      </w:r>
    </w:p>
    <w:p>
      <w:pPr>
        <w:spacing w:line="500" w:lineRule="exact"/>
        <w:ind w:firstLine="480" w:firstLineChars="200"/>
        <w:rPr>
          <w:sz w:val="24"/>
        </w:rPr>
      </w:pPr>
      <w:r>
        <w:rPr>
          <w:rFonts w:hint="eastAsia"/>
          <w:sz w:val="24"/>
        </w:rPr>
        <w:t>本标准编制过程中，标准起草组对多家</w:t>
      </w:r>
      <w:r>
        <w:rPr>
          <w:rFonts w:hint="eastAsia"/>
          <w:sz w:val="24"/>
          <w:lang w:eastAsia="zh-CN"/>
        </w:rPr>
        <w:t>镁碳砖</w:t>
      </w:r>
      <w:r>
        <w:rPr>
          <w:rFonts w:hint="eastAsia"/>
          <w:sz w:val="24"/>
        </w:rPr>
        <w:t>生产企业进行了调研，收集了</w:t>
      </w:r>
      <w:r>
        <w:rPr>
          <w:rFonts w:hint="eastAsia"/>
          <w:sz w:val="24"/>
          <w:lang w:eastAsia="zh-CN"/>
        </w:rPr>
        <w:t>镁碳砖</w:t>
      </w:r>
      <w:r>
        <w:rPr>
          <w:rFonts w:hint="eastAsia"/>
          <w:sz w:val="24"/>
        </w:rPr>
        <w:t>生产过程的现场数据和背景数据，使用ReCiPe评价方法（该方法为评价产品全生命周期环境影响的国际主流方法之一）进行过程贡献、环境影响贡献分析，辨识了</w:t>
      </w:r>
      <w:r>
        <w:rPr>
          <w:rFonts w:hint="eastAsia"/>
          <w:sz w:val="24"/>
          <w:lang w:eastAsia="zh-CN"/>
        </w:rPr>
        <w:t>镁碳砖</w:t>
      </w:r>
      <w:r>
        <w:rPr>
          <w:rFonts w:hint="eastAsia"/>
          <w:sz w:val="24"/>
        </w:rPr>
        <w:t>产品的关键影响类型、单元过程以及输入输出物质。</w:t>
      </w:r>
    </w:p>
    <w:p>
      <w:pPr>
        <w:spacing w:line="500" w:lineRule="exact"/>
        <w:ind w:firstLine="480" w:firstLineChars="200"/>
        <w:rPr>
          <w:sz w:val="24"/>
        </w:rPr>
      </w:pPr>
      <w:r>
        <w:rPr>
          <w:rFonts w:hint="eastAsia"/>
          <w:sz w:val="24"/>
        </w:rPr>
        <w:t>据此选取全球变暖（Global</w:t>
      </w:r>
      <w:r>
        <w:rPr>
          <w:sz w:val="24"/>
        </w:rPr>
        <w:t xml:space="preserve"> </w:t>
      </w:r>
      <w:r>
        <w:rPr>
          <w:rFonts w:hint="eastAsia"/>
          <w:sz w:val="24"/>
        </w:rPr>
        <w:t>warming）、颗粒物形成（Fine particulate matter formation）、人体毒性-致癌影响（</w:t>
      </w:r>
      <w:r>
        <w:rPr>
          <w:sz w:val="24"/>
        </w:rPr>
        <w:t>Human carcinogenic toxicity</w:t>
      </w:r>
      <w:r>
        <w:rPr>
          <w:rFonts w:hint="eastAsia"/>
          <w:sz w:val="24"/>
        </w:rPr>
        <w:t>）、人体毒性-非致癌影响（</w:t>
      </w:r>
      <w:r>
        <w:rPr>
          <w:sz w:val="24"/>
        </w:rPr>
        <w:t>Human non-carcinogenic toxicity</w:t>
      </w:r>
      <w:r>
        <w:rPr>
          <w:rFonts w:hint="eastAsia"/>
          <w:sz w:val="24"/>
        </w:rPr>
        <w:t>）、陆地生态系统酸化（Terrestrial acidification）、化石能源</w:t>
      </w:r>
      <w:r>
        <w:rPr>
          <w:rFonts w:hint="eastAsia"/>
          <w:sz w:val="24"/>
          <w:lang w:val="en-US" w:eastAsia="zh-CN"/>
        </w:rPr>
        <w:t>稀缺</w:t>
      </w:r>
      <w:r>
        <w:rPr>
          <w:rFonts w:hint="eastAsia"/>
          <w:sz w:val="24"/>
        </w:rPr>
        <w:t>（Fossil resource scarcity）、</w:t>
      </w:r>
      <w:r>
        <w:rPr>
          <w:rFonts w:hint="eastAsia"/>
          <w:sz w:val="24"/>
          <w:lang w:val="en-US" w:eastAsia="zh-CN"/>
        </w:rPr>
        <w:t>水资源稀缺（Water consumption）</w:t>
      </w:r>
      <w:r>
        <w:rPr>
          <w:rFonts w:hint="eastAsia"/>
          <w:sz w:val="24"/>
        </w:rPr>
        <w:t>七种贡献率最大的环境影响类型作为必要的环境影响类型，在依据本标准对</w:t>
      </w:r>
      <w:r>
        <w:rPr>
          <w:rFonts w:hint="eastAsia"/>
          <w:sz w:val="24"/>
          <w:lang w:eastAsia="zh-CN"/>
        </w:rPr>
        <w:t>镁碳砖</w:t>
      </w:r>
      <w:r>
        <w:rPr>
          <w:rFonts w:hint="eastAsia"/>
          <w:sz w:val="24"/>
        </w:rPr>
        <w:t>产品进行生命周期评价时必须包括相关数据。</w:t>
      </w:r>
    </w:p>
    <w:p>
      <w:pPr>
        <w:spacing w:line="500" w:lineRule="exact"/>
        <w:ind w:firstLine="480" w:firstLineChars="200"/>
        <w:rPr>
          <w:sz w:val="24"/>
        </w:rPr>
      </w:pPr>
      <w:r>
        <w:rPr>
          <w:rFonts w:hint="eastAsia"/>
          <w:sz w:val="24"/>
        </w:rPr>
        <w:t>（2）清单指标参数归类</w:t>
      </w:r>
    </w:p>
    <w:p>
      <w:pPr>
        <w:spacing w:line="500" w:lineRule="exact"/>
        <w:ind w:firstLine="480" w:firstLineChars="200"/>
        <w:rPr>
          <w:sz w:val="24"/>
        </w:rPr>
      </w:pPr>
      <w:r>
        <w:rPr>
          <w:rFonts w:hint="eastAsia"/>
          <w:sz w:val="24"/>
        </w:rPr>
        <w:t>根据清单指标参数的物理化学性质，将对某影响类型有贡献的指标参数归到一起。根据</w:t>
      </w:r>
      <w:r>
        <w:rPr>
          <w:rFonts w:hint="eastAsia"/>
          <w:sz w:val="24"/>
          <w:lang w:eastAsia="zh-CN"/>
        </w:rPr>
        <w:t>镁碳砖</w:t>
      </w:r>
      <w:r>
        <w:rPr>
          <w:rFonts w:hint="eastAsia"/>
          <w:sz w:val="24"/>
        </w:rPr>
        <w:t>产品生产过程中直接相关的输入输出物质归类，结果如表3-7所示。</w:t>
      </w:r>
      <w:r>
        <w:rPr>
          <w:rFonts w:hint="eastAsia"/>
          <w:kern w:val="0"/>
          <w:sz w:val="24"/>
        </w:rPr>
        <w:t>本表仅提供了</w:t>
      </w:r>
      <w:r>
        <w:rPr>
          <w:rFonts w:hint="eastAsia"/>
          <w:kern w:val="0"/>
          <w:sz w:val="24"/>
          <w:lang w:eastAsia="zh-CN"/>
        </w:rPr>
        <w:t>镁碳砖</w:t>
      </w:r>
      <w:r>
        <w:rPr>
          <w:rFonts w:hint="eastAsia"/>
          <w:kern w:val="0"/>
          <w:sz w:val="24"/>
        </w:rPr>
        <w:t>产品生产过程的数据即部分现场数据，未将背景数据中有贡献的指标参数进行归类，仅为了便于企业进行自评价。</w:t>
      </w:r>
    </w:p>
    <w:p>
      <w:pPr>
        <w:spacing w:line="500" w:lineRule="exact"/>
        <w:jc w:val="center"/>
        <w:rPr>
          <w:sz w:val="24"/>
        </w:rPr>
      </w:pPr>
      <w:r>
        <w:rPr>
          <w:rFonts w:hint="eastAsia"/>
          <w:sz w:val="24"/>
        </w:rPr>
        <w:t xml:space="preserve">表3-7  </w:t>
      </w:r>
      <w:r>
        <w:rPr>
          <w:rFonts w:hint="eastAsia"/>
          <w:sz w:val="24"/>
          <w:lang w:eastAsia="zh-CN"/>
        </w:rPr>
        <w:t>镁碳砖</w:t>
      </w:r>
      <w:r>
        <w:rPr>
          <w:rFonts w:hint="eastAsia"/>
          <w:sz w:val="24"/>
        </w:rPr>
        <w:t>产品生命周期清单指标参数分类</w:t>
      </w:r>
    </w:p>
    <w:tbl>
      <w:tblPr>
        <w:tblStyle w:val="25"/>
        <w:tblW w:w="7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1"/>
        <w:gridCol w:w="3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vAlign w:val="center"/>
          </w:tcPr>
          <w:p>
            <w:pPr>
              <w:pStyle w:val="30"/>
              <w:spacing w:line="500" w:lineRule="exact"/>
              <w:ind w:firstLine="0" w:firstLineChars="0"/>
              <w:jc w:val="center"/>
              <w:rPr>
                <w:rFonts w:ascii="Times New Roman"/>
                <w:sz w:val="22"/>
                <w:szCs w:val="22"/>
              </w:rPr>
            </w:pPr>
            <w:r>
              <w:rPr>
                <w:rFonts w:hint="eastAsia" w:ascii="Times New Roman"/>
                <w:sz w:val="22"/>
                <w:szCs w:val="22"/>
              </w:rPr>
              <w:t>影响类型</w:t>
            </w:r>
          </w:p>
        </w:tc>
        <w:tc>
          <w:tcPr>
            <w:tcW w:w="3832" w:type="dxa"/>
            <w:vAlign w:val="center"/>
          </w:tcPr>
          <w:p>
            <w:pPr>
              <w:pStyle w:val="30"/>
              <w:spacing w:line="500" w:lineRule="exact"/>
              <w:ind w:firstLine="0" w:firstLineChars="0"/>
              <w:jc w:val="center"/>
              <w:rPr>
                <w:rFonts w:ascii="Times New Roman"/>
                <w:sz w:val="22"/>
                <w:szCs w:val="22"/>
              </w:rPr>
            </w:pPr>
            <w:r>
              <w:rPr>
                <w:rFonts w:hint="eastAsia" w:ascii="Times New Roman"/>
                <w:sz w:val="22"/>
                <w:szCs w:val="22"/>
              </w:rPr>
              <w:t>清单指标参数归类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pPr>
              <w:pStyle w:val="30"/>
              <w:spacing w:line="500" w:lineRule="exact"/>
              <w:ind w:firstLine="0" w:firstLineChars="0"/>
              <w:jc w:val="center"/>
              <w:rPr>
                <w:rFonts w:ascii="Times New Roman"/>
                <w:sz w:val="22"/>
                <w:szCs w:val="22"/>
              </w:rPr>
            </w:pPr>
            <w:r>
              <w:rPr>
                <w:rFonts w:hint="eastAsia"/>
                <w:kern w:val="2"/>
                <w:sz w:val="22"/>
                <w:szCs w:val="22"/>
              </w:rPr>
              <w:t>全球变暖</w:t>
            </w:r>
          </w:p>
        </w:tc>
        <w:tc>
          <w:tcPr>
            <w:tcW w:w="3832" w:type="dxa"/>
          </w:tcPr>
          <w:p>
            <w:pPr>
              <w:pStyle w:val="30"/>
              <w:spacing w:line="500" w:lineRule="exact"/>
              <w:ind w:firstLine="0" w:firstLineChars="0"/>
              <w:jc w:val="center"/>
              <w:rPr>
                <w:kern w:val="2"/>
                <w:sz w:val="22"/>
                <w:szCs w:val="22"/>
              </w:rPr>
            </w:pPr>
            <w:r>
              <w:rPr>
                <w:rFonts w:hint="eastAsia"/>
                <w:kern w:val="2"/>
                <w:sz w:val="22"/>
                <w:szCs w:val="22"/>
              </w:rPr>
              <w:t>二氧化碳、一氧化二氮、甲烷</w:t>
            </w:r>
            <w:r>
              <w:rPr>
                <w:kern w:val="2"/>
                <w:sz w:val="22"/>
                <w:szCs w:val="22"/>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pPr>
              <w:pStyle w:val="30"/>
              <w:spacing w:line="500" w:lineRule="exact"/>
              <w:ind w:firstLine="0" w:firstLineChars="0"/>
              <w:jc w:val="center"/>
              <w:rPr>
                <w:rFonts w:ascii="Times New Roman"/>
                <w:sz w:val="22"/>
                <w:szCs w:val="22"/>
              </w:rPr>
            </w:pPr>
            <w:r>
              <w:rPr>
                <w:rFonts w:hint="eastAsia"/>
                <w:kern w:val="2"/>
                <w:sz w:val="22"/>
                <w:szCs w:val="22"/>
              </w:rPr>
              <w:t>颗粒物形成</w:t>
            </w:r>
          </w:p>
        </w:tc>
        <w:tc>
          <w:tcPr>
            <w:tcW w:w="3832" w:type="dxa"/>
          </w:tcPr>
          <w:p>
            <w:pPr>
              <w:pStyle w:val="30"/>
              <w:spacing w:line="500" w:lineRule="exact"/>
              <w:ind w:firstLine="0" w:firstLineChars="0"/>
              <w:jc w:val="center"/>
              <w:rPr>
                <w:kern w:val="2"/>
                <w:sz w:val="22"/>
                <w:szCs w:val="22"/>
              </w:rPr>
            </w:pPr>
            <w:r>
              <w:rPr>
                <w:kern w:val="2"/>
                <w:sz w:val="22"/>
                <w:szCs w:val="22"/>
              </w:rPr>
              <w:t>颗粒物、</w:t>
            </w:r>
            <w:r>
              <w:rPr>
                <w:rFonts w:hint="eastAsia"/>
                <w:kern w:val="2"/>
                <w:sz w:val="22"/>
                <w:szCs w:val="22"/>
              </w:rPr>
              <w:t>二氧化硫、氮氧化物</w:t>
            </w:r>
            <w:r>
              <w:rPr>
                <w:kern w:val="2"/>
                <w:sz w:val="22"/>
                <w:szCs w:val="22"/>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pPr>
              <w:pStyle w:val="30"/>
              <w:spacing w:line="500" w:lineRule="exact"/>
              <w:ind w:firstLine="0" w:firstLineChars="0"/>
              <w:jc w:val="center"/>
              <w:rPr>
                <w:rFonts w:ascii="Times New Roman"/>
                <w:sz w:val="22"/>
                <w:szCs w:val="22"/>
              </w:rPr>
            </w:pPr>
            <w:r>
              <w:rPr>
                <w:rFonts w:hint="eastAsia"/>
                <w:kern w:val="2"/>
                <w:sz w:val="22"/>
                <w:szCs w:val="22"/>
              </w:rPr>
              <w:t>人体毒性-致癌损害</w:t>
            </w:r>
          </w:p>
        </w:tc>
        <w:tc>
          <w:tcPr>
            <w:tcW w:w="3832" w:type="dxa"/>
          </w:tcPr>
          <w:p>
            <w:pPr>
              <w:pStyle w:val="30"/>
              <w:spacing w:line="500" w:lineRule="exact"/>
              <w:ind w:firstLine="0" w:firstLineChars="0"/>
              <w:jc w:val="center"/>
              <w:rPr>
                <w:kern w:val="2"/>
                <w:sz w:val="22"/>
                <w:szCs w:val="22"/>
              </w:rPr>
            </w:pPr>
            <w:r>
              <w:rPr>
                <w:kern w:val="2"/>
                <w:sz w:val="22"/>
                <w:szCs w:val="22"/>
              </w:rPr>
              <w:t>铬、镍、汞等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pPr>
              <w:pStyle w:val="30"/>
              <w:spacing w:line="500" w:lineRule="exact"/>
              <w:ind w:firstLine="0" w:firstLineChars="0"/>
              <w:jc w:val="center"/>
              <w:rPr>
                <w:rFonts w:ascii="Times New Roman"/>
                <w:sz w:val="22"/>
                <w:szCs w:val="22"/>
              </w:rPr>
            </w:pPr>
            <w:r>
              <w:rPr>
                <w:rFonts w:hint="eastAsia"/>
                <w:kern w:val="2"/>
                <w:sz w:val="22"/>
                <w:szCs w:val="22"/>
              </w:rPr>
              <w:t>人体毒性-非致癌损害</w:t>
            </w:r>
          </w:p>
        </w:tc>
        <w:tc>
          <w:tcPr>
            <w:tcW w:w="3832" w:type="dxa"/>
          </w:tcPr>
          <w:p>
            <w:pPr>
              <w:pStyle w:val="30"/>
              <w:spacing w:line="500" w:lineRule="exact"/>
              <w:ind w:firstLine="0" w:firstLineChars="0"/>
              <w:jc w:val="center"/>
              <w:rPr>
                <w:kern w:val="2"/>
                <w:sz w:val="22"/>
                <w:szCs w:val="22"/>
              </w:rPr>
            </w:pPr>
            <w:r>
              <w:rPr>
                <w:kern w:val="2"/>
                <w:sz w:val="22"/>
                <w:szCs w:val="22"/>
              </w:rPr>
              <w:t>锌、汞、镉等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pPr>
              <w:pStyle w:val="30"/>
              <w:spacing w:line="500" w:lineRule="exact"/>
              <w:ind w:firstLine="0" w:firstLineChars="0"/>
              <w:jc w:val="center"/>
              <w:rPr>
                <w:rFonts w:ascii="Times New Roman"/>
                <w:sz w:val="22"/>
                <w:szCs w:val="22"/>
              </w:rPr>
            </w:pPr>
            <w:r>
              <w:rPr>
                <w:rFonts w:hint="eastAsia"/>
                <w:kern w:val="2"/>
                <w:sz w:val="22"/>
                <w:szCs w:val="22"/>
              </w:rPr>
              <w:t>陆地生态系统酸化</w:t>
            </w:r>
          </w:p>
        </w:tc>
        <w:tc>
          <w:tcPr>
            <w:tcW w:w="3832" w:type="dxa"/>
          </w:tcPr>
          <w:p>
            <w:pPr>
              <w:pStyle w:val="30"/>
              <w:spacing w:line="500" w:lineRule="exact"/>
              <w:ind w:firstLine="0" w:firstLineChars="0"/>
              <w:jc w:val="center"/>
              <w:rPr>
                <w:kern w:val="2"/>
                <w:sz w:val="22"/>
                <w:szCs w:val="22"/>
              </w:rPr>
            </w:pPr>
            <w:r>
              <w:rPr>
                <w:rFonts w:hint="eastAsia"/>
                <w:kern w:val="2"/>
                <w:sz w:val="22"/>
                <w:szCs w:val="22"/>
              </w:rPr>
              <w:t>氨气、二氧化硫</w:t>
            </w:r>
            <w:r>
              <w:rPr>
                <w:kern w:val="2"/>
                <w:sz w:val="22"/>
                <w:szCs w:val="22"/>
              </w:rPr>
              <w:t>、</w:t>
            </w:r>
            <w:r>
              <w:rPr>
                <w:rFonts w:hint="eastAsia"/>
                <w:kern w:val="2"/>
                <w:sz w:val="22"/>
                <w:szCs w:val="22"/>
              </w:rPr>
              <w:t>氮氧化物</w:t>
            </w:r>
            <w:r>
              <w:rPr>
                <w:kern w:val="2"/>
                <w:sz w:val="22"/>
                <w:szCs w:val="22"/>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pPr>
              <w:pStyle w:val="30"/>
              <w:spacing w:line="500" w:lineRule="exact"/>
              <w:ind w:firstLine="0" w:firstLineChars="0"/>
              <w:jc w:val="center"/>
              <w:rPr>
                <w:rFonts w:hint="eastAsia" w:ascii="Times New Roman" w:eastAsia="宋体"/>
                <w:sz w:val="22"/>
                <w:szCs w:val="22"/>
                <w:lang w:val="en-US" w:eastAsia="zh-CN"/>
              </w:rPr>
            </w:pPr>
            <w:r>
              <w:rPr>
                <w:rFonts w:hint="eastAsia"/>
                <w:kern w:val="2"/>
                <w:sz w:val="22"/>
                <w:szCs w:val="22"/>
              </w:rPr>
              <w:t>化石能源</w:t>
            </w:r>
            <w:r>
              <w:rPr>
                <w:rFonts w:hint="eastAsia"/>
                <w:kern w:val="2"/>
                <w:sz w:val="22"/>
                <w:szCs w:val="22"/>
                <w:lang w:val="en-US" w:eastAsia="zh-CN"/>
              </w:rPr>
              <w:t>稀缺</w:t>
            </w:r>
          </w:p>
        </w:tc>
        <w:tc>
          <w:tcPr>
            <w:tcW w:w="3832" w:type="dxa"/>
          </w:tcPr>
          <w:p>
            <w:pPr>
              <w:pStyle w:val="30"/>
              <w:spacing w:line="500" w:lineRule="exact"/>
              <w:ind w:firstLine="0" w:firstLineChars="0"/>
              <w:jc w:val="center"/>
              <w:rPr>
                <w:kern w:val="2"/>
                <w:sz w:val="22"/>
                <w:szCs w:val="22"/>
              </w:rPr>
            </w:pPr>
            <w:r>
              <w:rPr>
                <w:kern w:val="2"/>
                <w:sz w:val="22"/>
                <w:szCs w:val="22"/>
              </w:rPr>
              <w:t>原煤、原油、天然气等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pPr>
              <w:pStyle w:val="30"/>
              <w:spacing w:line="500" w:lineRule="exact"/>
              <w:ind w:firstLine="0" w:firstLineChars="0"/>
              <w:jc w:val="center"/>
              <w:rPr>
                <w:rFonts w:hint="default" w:ascii="Times New Roman" w:eastAsia="宋体"/>
                <w:sz w:val="22"/>
                <w:szCs w:val="22"/>
                <w:lang w:val="en-US" w:eastAsia="zh-CN"/>
              </w:rPr>
            </w:pPr>
            <w:r>
              <w:rPr>
                <w:rFonts w:hint="eastAsia" w:ascii="Times New Roman"/>
                <w:sz w:val="22"/>
                <w:szCs w:val="22"/>
                <w:lang w:val="en-US" w:eastAsia="zh-CN"/>
              </w:rPr>
              <w:t>水资源稀缺</w:t>
            </w:r>
          </w:p>
        </w:tc>
        <w:tc>
          <w:tcPr>
            <w:tcW w:w="3832" w:type="dxa"/>
          </w:tcPr>
          <w:p>
            <w:pPr>
              <w:pStyle w:val="30"/>
              <w:spacing w:line="500" w:lineRule="exact"/>
              <w:ind w:firstLine="0" w:firstLineChars="0"/>
              <w:jc w:val="center"/>
              <w:rPr>
                <w:rFonts w:hint="eastAsia" w:eastAsia="宋体"/>
                <w:kern w:val="2"/>
                <w:sz w:val="22"/>
                <w:szCs w:val="22"/>
                <w:lang w:val="en-US" w:eastAsia="zh-CN"/>
              </w:rPr>
            </w:pPr>
            <w:r>
              <w:rPr>
                <w:rFonts w:hint="eastAsia"/>
                <w:kern w:val="2"/>
                <w:sz w:val="22"/>
                <w:szCs w:val="22"/>
                <w:lang w:val="en-US" w:eastAsia="zh-CN"/>
              </w:rPr>
              <w:t>水</w:t>
            </w:r>
          </w:p>
        </w:tc>
      </w:tr>
    </w:tbl>
    <w:p>
      <w:pPr>
        <w:spacing w:line="500" w:lineRule="exact"/>
        <w:ind w:firstLine="480" w:firstLineChars="200"/>
        <w:rPr>
          <w:kern w:val="0"/>
          <w:sz w:val="24"/>
        </w:rPr>
      </w:pPr>
      <w:r>
        <w:rPr>
          <w:rFonts w:hint="eastAsia"/>
          <w:kern w:val="0"/>
          <w:sz w:val="24"/>
        </w:rPr>
        <w:t>（3）分类评价</w:t>
      </w:r>
    </w:p>
    <w:p>
      <w:pPr>
        <w:spacing w:line="500" w:lineRule="exact"/>
        <w:ind w:firstLine="480" w:firstLineChars="200"/>
        <w:rPr>
          <w:kern w:val="0"/>
          <w:sz w:val="24"/>
        </w:rPr>
      </w:pPr>
      <w:r>
        <w:rPr>
          <w:rFonts w:hint="eastAsia"/>
          <w:kern w:val="0"/>
          <w:sz w:val="24"/>
        </w:rPr>
        <w:t>本标准所涉及的污染物排放的环境影响特征化指标参数采用ReCiPe 2016 Midpoint(H)方法体系，环境影响特征化类型对应特征化模型、类型参数以及来源见表3-8。</w:t>
      </w:r>
    </w:p>
    <w:p>
      <w:pPr>
        <w:spacing w:line="500" w:lineRule="exact"/>
        <w:jc w:val="center"/>
        <w:rPr>
          <w:kern w:val="0"/>
          <w:sz w:val="24"/>
        </w:rPr>
      </w:pPr>
      <w:r>
        <w:rPr>
          <w:rFonts w:hint="eastAsia"/>
          <w:kern w:val="0"/>
          <w:sz w:val="24"/>
        </w:rPr>
        <w:t>表3-8</w:t>
      </w:r>
      <w:r>
        <w:rPr>
          <w:kern w:val="0"/>
          <w:sz w:val="24"/>
        </w:rPr>
        <w:t xml:space="preserve"> </w:t>
      </w:r>
      <w:r>
        <w:rPr>
          <w:rFonts w:hint="eastAsia"/>
          <w:sz w:val="24"/>
          <w:lang w:eastAsia="zh-CN"/>
        </w:rPr>
        <w:t>镁碳砖</w:t>
      </w:r>
      <w:r>
        <w:rPr>
          <w:sz w:val="24"/>
        </w:rPr>
        <w:t>产品生命周期影响评价</w:t>
      </w:r>
    </w:p>
    <w:tbl>
      <w:tblPr>
        <w:tblStyle w:val="24"/>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1726"/>
        <w:gridCol w:w="1765"/>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129" w:type="dxa"/>
            <w:shd w:val="clear" w:color="auto" w:fill="auto"/>
            <w:vAlign w:val="center"/>
          </w:tcPr>
          <w:p>
            <w:pPr>
              <w:jc w:val="center"/>
              <w:rPr>
                <w:color w:val="000000"/>
                <w:szCs w:val="21"/>
              </w:rPr>
            </w:pPr>
            <w:bookmarkStart w:id="49" w:name="_Hlk66199694"/>
            <w:r>
              <w:rPr>
                <w:rFonts w:hint="eastAsia"/>
                <w:color w:val="000000"/>
                <w:szCs w:val="21"/>
              </w:rPr>
              <w:t>环境影响特征化类型</w:t>
            </w:r>
          </w:p>
        </w:tc>
        <w:tc>
          <w:tcPr>
            <w:tcW w:w="1726" w:type="dxa"/>
            <w:shd w:val="clear" w:color="auto" w:fill="auto"/>
            <w:vAlign w:val="center"/>
          </w:tcPr>
          <w:p>
            <w:pPr>
              <w:jc w:val="center"/>
              <w:rPr>
                <w:color w:val="000000"/>
                <w:szCs w:val="21"/>
              </w:rPr>
            </w:pPr>
            <w:r>
              <w:rPr>
                <w:rFonts w:hint="eastAsia"/>
                <w:color w:val="000000"/>
                <w:szCs w:val="21"/>
              </w:rPr>
              <w:t>单位</w:t>
            </w:r>
          </w:p>
        </w:tc>
        <w:tc>
          <w:tcPr>
            <w:tcW w:w="1765" w:type="dxa"/>
            <w:shd w:val="clear" w:color="auto" w:fill="auto"/>
            <w:vAlign w:val="center"/>
          </w:tcPr>
          <w:p>
            <w:pPr>
              <w:jc w:val="center"/>
              <w:rPr>
                <w:color w:val="000000"/>
                <w:szCs w:val="21"/>
              </w:rPr>
            </w:pPr>
            <w:r>
              <w:rPr>
                <w:rFonts w:hint="eastAsia"/>
                <w:color w:val="000000"/>
                <w:szCs w:val="21"/>
              </w:rPr>
              <w:t>指标参数</w:t>
            </w:r>
          </w:p>
        </w:tc>
        <w:tc>
          <w:tcPr>
            <w:tcW w:w="1969" w:type="dxa"/>
            <w:shd w:val="clear" w:color="auto" w:fill="auto"/>
            <w:vAlign w:val="center"/>
          </w:tcPr>
          <w:p>
            <w:pPr>
              <w:jc w:val="center"/>
              <w:rPr>
                <w:color w:val="000000"/>
                <w:szCs w:val="21"/>
              </w:rPr>
            </w:pPr>
            <w:r>
              <w:rPr>
                <w:rFonts w:hint="eastAsia"/>
                <w:color w:val="000000"/>
                <w:szCs w:val="21"/>
              </w:rPr>
              <w:t>特征化因子</w:t>
            </w:r>
          </w:p>
        </w:tc>
        <w:tc>
          <w:tcPr>
            <w:tcW w:w="1969" w:type="dxa"/>
            <w:shd w:val="clear" w:color="auto" w:fill="auto"/>
            <w:vAlign w:val="center"/>
          </w:tcPr>
          <w:p>
            <w:pPr>
              <w:jc w:val="center"/>
              <w:rPr>
                <w:color w:val="000000"/>
                <w:szCs w:val="21"/>
              </w:rPr>
            </w:pPr>
            <w:r>
              <w:rPr>
                <w:rFonts w:hint="eastAsia"/>
                <w:color w:val="000000"/>
                <w:szCs w:val="21"/>
              </w:rPr>
              <w:t>特征化因子单位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129" w:type="dxa"/>
            <w:vMerge w:val="restart"/>
            <w:shd w:val="clear" w:color="auto" w:fill="auto"/>
            <w:vAlign w:val="center"/>
          </w:tcPr>
          <w:p>
            <w:pPr>
              <w:jc w:val="center"/>
              <w:rPr>
                <w:rFonts w:ascii="宋体"/>
                <w:color w:val="000000"/>
                <w:szCs w:val="21"/>
              </w:rPr>
            </w:pPr>
            <w:r>
              <w:rPr>
                <w:rFonts w:hint="eastAsia" w:ascii="宋体"/>
                <w:color w:val="000000"/>
                <w:szCs w:val="21"/>
              </w:rPr>
              <w:t>全球变暖</w:t>
            </w:r>
          </w:p>
        </w:tc>
        <w:tc>
          <w:tcPr>
            <w:tcW w:w="1726" w:type="dxa"/>
            <w:vMerge w:val="restart"/>
            <w:shd w:val="clear" w:color="auto" w:fill="auto"/>
            <w:vAlign w:val="center"/>
          </w:tcPr>
          <w:p>
            <w:pPr>
              <w:jc w:val="center"/>
              <w:rPr>
                <w:color w:val="000000"/>
                <w:szCs w:val="21"/>
              </w:rPr>
            </w:pPr>
            <w:r>
              <w:rPr>
                <w:color w:val="000000"/>
                <w:szCs w:val="21"/>
              </w:rPr>
              <w:t>kg CO</w:t>
            </w:r>
            <w:r>
              <w:rPr>
                <w:color w:val="000000"/>
                <w:szCs w:val="21"/>
                <w:vertAlign w:val="subscript"/>
              </w:rPr>
              <w:t>2</w:t>
            </w:r>
            <w:r>
              <w:rPr>
                <w:color w:val="000000"/>
                <w:szCs w:val="21"/>
              </w:rPr>
              <w:t xml:space="preserve"> eq.</w:t>
            </w:r>
          </w:p>
        </w:tc>
        <w:tc>
          <w:tcPr>
            <w:tcW w:w="1765" w:type="dxa"/>
            <w:shd w:val="clear" w:color="auto" w:fill="auto"/>
            <w:vAlign w:val="center"/>
          </w:tcPr>
          <w:p>
            <w:pPr>
              <w:jc w:val="center"/>
              <w:rPr>
                <w:color w:val="000000"/>
                <w:szCs w:val="21"/>
              </w:rPr>
            </w:pPr>
            <w:r>
              <w:rPr>
                <w:rFonts w:hint="eastAsia"/>
                <w:color w:val="000000"/>
                <w:szCs w:val="21"/>
              </w:rPr>
              <w:t>二氧化碳</w:t>
            </w:r>
          </w:p>
        </w:tc>
        <w:tc>
          <w:tcPr>
            <w:tcW w:w="1969" w:type="dxa"/>
            <w:shd w:val="clear" w:color="auto" w:fill="auto"/>
            <w:vAlign w:val="center"/>
          </w:tcPr>
          <w:p>
            <w:pPr>
              <w:jc w:val="center"/>
              <w:rPr>
                <w:color w:val="000000"/>
                <w:szCs w:val="21"/>
              </w:rPr>
            </w:pPr>
            <w:r>
              <w:rPr>
                <w:color w:val="000000"/>
                <w:szCs w:val="21"/>
              </w:rPr>
              <w:t>1</w:t>
            </w:r>
          </w:p>
        </w:tc>
        <w:tc>
          <w:tcPr>
            <w:tcW w:w="1969" w:type="dxa"/>
            <w:shd w:val="clear" w:color="auto" w:fill="auto"/>
            <w:vAlign w:val="center"/>
          </w:tcPr>
          <w:p>
            <w:pPr>
              <w:jc w:val="center"/>
              <w:rPr>
                <w:color w:val="000000"/>
                <w:szCs w:val="21"/>
              </w:rPr>
            </w:pPr>
            <w:r>
              <w:rPr>
                <w:color w:val="000000"/>
                <w:szCs w:val="21"/>
              </w:rPr>
              <w:t>kg CO</w:t>
            </w:r>
            <w:r>
              <w:rPr>
                <w:color w:val="000000"/>
                <w:szCs w:val="21"/>
                <w:vertAlign w:val="subscript"/>
              </w:rPr>
              <w:t>2</w:t>
            </w:r>
            <w:r>
              <w:rPr>
                <w:color w:val="000000"/>
                <w:szCs w:val="21"/>
              </w:rPr>
              <w:t xml:space="preserve"> eq. </w:t>
            </w:r>
            <w:r>
              <w:rPr>
                <w:rFonts w:hint="eastAsia"/>
                <w:color w:val="000000"/>
                <w:szCs w:val="21"/>
              </w:rPr>
              <w:t>/</w:t>
            </w:r>
            <w:r>
              <w:rPr>
                <w:color w:val="000000"/>
                <w:szCs w:val="21"/>
              </w:rPr>
              <w:t xml:space="preserve"> </w:t>
            </w:r>
            <w:r>
              <w:rPr>
                <w:rFonts w:hint="eastAsia"/>
                <w:color w:val="000000"/>
                <w:szCs w:val="21"/>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129" w:type="dxa"/>
            <w:vMerge w:val="continue"/>
            <w:shd w:val="clear" w:color="auto" w:fill="auto"/>
            <w:vAlign w:val="center"/>
          </w:tcPr>
          <w:p>
            <w:pPr>
              <w:jc w:val="center"/>
              <w:rPr>
                <w:rFonts w:ascii="宋体"/>
                <w:color w:val="000000"/>
                <w:szCs w:val="21"/>
              </w:rPr>
            </w:pPr>
          </w:p>
        </w:tc>
        <w:tc>
          <w:tcPr>
            <w:tcW w:w="1726" w:type="dxa"/>
            <w:vMerge w:val="continue"/>
            <w:shd w:val="clear" w:color="auto" w:fill="auto"/>
            <w:vAlign w:val="center"/>
          </w:tcPr>
          <w:p>
            <w:pPr>
              <w:jc w:val="center"/>
              <w:rPr>
                <w:color w:val="000000"/>
                <w:szCs w:val="21"/>
              </w:rPr>
            </w:pPr>
          </w:p>
        </w:tc>
        <w:tc>
          <w:tcPr>
            <w:tcW w:w="1765" w:type="dxa"/>
            <w:shd w:val="clear" w:color="auto" w:fill="auto"/>
            <w:vAlign w:val="center"/>
          </w:tcPr>
          <w:p>
            <w:pPr>
              <w:jc w:val="center"/>
              <w:rPr>
                <w:color w:val="000000"/>
                <w:szCs w:val="21"/>
              </w:rPr>
            </w:pPr>
            <w:r>
              <w:rPr>
                <w:rFonts w:hint="eastAsia"/>
                <w:color w:val="000000"/>
                <w:szCs w:val="21"/>
              </w:rPr>
              <w:t>一氧化二氮</w:t>
            </w:r>
          </w:p>
        </w:tc>
        <w:tc>
          <w:tcPr>
            <w:tcW w:w="1969" w:type="dxa"/>
            <w:shd w:val="clear" w:color="auto" w:fill="auto"/>
            <w:vAlign w:val="center"/>
          </w:tcPr>
          <w:p>
            <w:pPr>
              <w:jc w:val="center"/>
              <w:rPr>
                <w:color w:val="000000"/>
                <w:szCs w:val="21"/>
              </w:rPr>
            </w:pPr>
            <w:r>
              <w:rPr>
                <w:rFonts w:hint="eastAsia"/>
                <w:color w:val="000000"/>
                <w:szCs w:val="21"/>
              </w:rPr>
              <w:t>2</w:t>
            </w:r>
            <w:r>
              <w:rPr>
                <w:color w:val="000000"/>
                <w:szCs w:val="21"/>
              </w:rPr>
              <w:t>98</w:t>
            </w:r>
          </w:p>
        </w:tc>
        <w:tc>
          <w:tcPr>
            <w:tcW w:w="1969" w:type="dxa"/>
            <w:shd w:val="clear" w:color="auto" w:fill="auto"/>
            <w:vAlign w:val="center"/>
          </w:tcPr>
          <w:p>
            <w:pPr>
              <w:jc w:val="center"/>
              <w:rPr>
                <w:color w:val="000000"/>
                <w:szCs w:val="21"/>
              </w:rPr>
            </w:pPr>
            <w:r>
              <w:rPr>
                <w:color w:val="000000"/>
                <w:szCs w:val="21"/>
              </w:rPr>
              <w:t>kg CO</w:t>
            </w:r>
            <w:r>
              <w:rPr>
                <w:color w:val="000000"/>
                <w:szCs w:val="21"/>
                <w:vertAlign w:val="subscript"/>
              </w:rPr>
              <w:t>2</w:t>
            </w:r>
            <w:r>
              <w:rPr>
                <w:color w:val="000000"/>
                <w:szCs w:val="21"/>
              </w:rPr>
              <w:t xml:space="preserve"> eq. </w:t>
            </w:r>
            <w:r>
              <w:rPr>
                <w:rFonts w:hint="eastAsia"/>
                <w:color w:val="000000"/>
                <w:szCs w:val="21"/>
              </w:rPr>
              <w:t>/</w:t>
            </w:r>
            <w:r>
              <w:rPr>
                <w:color w:val="000000"/>
                <w:szCs w:val="21"/>
              </w:rPr>
              <w:t xml:space="preserve"> </w:t>
            </w:r>
            <w:r>
              <w:rPr>
                <w:rFonts w:hint="eastAsia"/>
                <w:color w:val="000000"/>
                <w:szCs w:val="21"/>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129" w:type="dxa"/>
            <w:vMerge w:val="continue"/>
            <w:shd w:val="clear" w:color="auto" w:fill="auto"/>
            <w:vAlign w:val="center"/>
          </w:tcPr>
          <w:p>
            <w:pPr>
              <w:jc w:val="center"/>
              <w:rPr>
                <w:rFonts w:ascii="宋体"/>
                <w:color w:val="000000"/>
                <w:szCs w:val="21"/>
              </w:rPr>
            </w:pPr>
          </w:p>
        </w:tc>
        <w:tc>
          <w:tcPr>
            <w:tcW w:w="1726" w:type="dxa"/>
            <w:vMerge w:val="continue"/>
            <w:shd w:val="clear" w:color="auto" w:fill="auto"/>
            <w:vAlign w:val="center"/>
          </w:tcPr>
          <w:p>
            <w:pPr>
              <w:jc w:val="center"/>
              <w:rPr>
                <w:color w:val="000000"/>
                <w:szCs w:val="21"/>
              </w:rPr>
            </w:pPr>
          </w:p>
        </w:tc>
        <w:tc>
          <w:tcPr>
            <w:tcW w:w="1765" w:type="dxa"/>
            <w:shd w:val="clear" w:color="auto" w:fill="auto"/>
            <w:vAlign w:val="center"/>
          </w:tcPr>
          <w:p>
            <w:pPr>
              <w:jc w:val="center"/>
              <w:rPr>
                <w:color w:val="000000"/>
                <w:szCs w:val="21"/>
              </w:rPr>
            </w:pPr>
            <w:r>
              <w:rPr>
                <w:rFonts w:hint="eastAsia"/>
                <w:color w:val="000000"/>
                <w:szCs w:val="21"/>
              </w:rPr>
              <w:t>甲烷</w:t>
            </w:r>
          </w:p>
        </w:tc>
        <w:tc>
          <w:tcPr>
            <w:tcW w:w="1969" w:type="dxa"/>
            <w:shd w:val="clear" w:color="auto" w:fill="auto"/>
            <w:vAlign w:val="center"/>
          </w:tcPr>
          <w:p>
            <w:pPr>
              <w:jc w:val="center"/>
              <w:rPr>
                <w:color w:val="000000"/>
                <w:szCs w:val="21"/>
              </w:rPr>
            </w:pPr>
            <w:r>
              <w:rPr>
                <w:rFonts w:hint="eastAsia"/>
                <w:color w:val="000000"/>
                <w:szCs w:val="21"/>
              </w:rPr>
              <w:t>3</w:t>
            </w:r>
            <w:r>
              <w:rPr>
                <w:color w:val="000000"/>
                <w:szCs w:val="21"/>
              </w:rPr>
              <w:t>4</w:t>
            </w:r>
          </w:p>
        </w:tc>
        <w:tc>
          <w:tcPr>
            <w:tcW w:w="1969" w:type="dxa"/>
            <w:shd w:val="clear" w:color="auto" w:fill="auto"/>
            <w:vAlign w:val="center"/>
          </w:tcPr>
          <w:p>
            <w:pPr>
              <w:jc w:val="center"/>
              <w:rPr>
                <w:color w:val="000000"/>
                <w:szCs w:val="21"/>
              </w:rPr>
            </w:pPr>
            <w:r>
              <w:rPr>
                <w:color w:val="000000"/>
                <w:szCs w:val="21"/>
              </w:rPr>
              <w:t>kg CO</w:t>
            </w:r>
            <w:r>
              <w:rPr>
                <w:color w:val="000000"/>
                <w:szCs w:val="21"/>
                <w:vertAlign w:val="subscript"/>
              </w:rPr>
              <w:t>2</w:t>
            </w:r>
            <w:r>
              <w:rPr>
                <w:color w:val="000000"/>
                <w:szCs w:val="21"/>
              </w:rPr>
              <w:t xml:space="preserve"> eq. </w:t>
            </w:r>
            <w:r>
              <w:rPr>
                <w:rFonts w:hint="eastAsia"/>
                <w:color w:val="000000"/>
                <w:szCs w:val="21"/>
              </w:rPr>
              <w:t>/</w:t>
            </w:r>
            <w:r>
              <w:rPr>
                <w:color w:val="000000"/>
                <w:szCs w:val="21"/>
              </w:rPr>
              <w:t xml:space="preserve"> </w:t>
            </w:r>
            <w:r>
              <w:rPr>
                <w:rFonts w:hint="eastAsia"/>
                <w:color w:val="000000"/>
                <w:szCs w:val="21"/>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129" w:type="dxa"/>
            <w:vMerge w:val="restart"/>
            <w:shd w:val="clear" w:color="auto" w:fill="auto"/>
            <w:vAlign w:val="center"/>
          </w:tcPr>
          <w:p>
            <w:pPr>
              <w:jc w:val="center"/>
              <w:rPr>
                <w:color w:val="000000"/>
                <w:szCs w:val="21"/>
              </w:rPr>
            </w:pPr>
            <w:r>
              <w:rPr>
                <w:rFonts w:hint="eastAsia"/>
                <w:color w:val="000000"/>
                <w:szCs w:val="21"/>
              </w:rPr>
              <w:t>颗粒物形成</w:t>
            </w:r>
          </w:p>
        </w:tc>
        <w:tc>
          <w:tcPr>
            <w:tcW w:w="1726" w:type="dxa"/>
            <w:vMerge w:val="restart"/>
            <w:shd w:val="clear" w:color="auto" w:fill="auto"/>
            <w:vAlign w:val="center"/>
          </w:tcPr>
          <w:p>
            <w:pPr>
              <w:jc w:val="center"/>
              <w:rPr>
                <w:color w:val="000000"/>
                <w:szCs w:val="21"/>
              </w:rPr>
            </w:pPr>
            <w:r>
              <w:rPr>
                <w:color w:val="000000"/>
                <w:szCs w:val="21"/>
              </w:rPr>
              <w:t>kg PM2.5 eq</w:t>
            </w:r>
          </w:p>
        </w:tc>
        <w:tc>
          <w:tcPr>
            <w:tcW w:w="1765" w:type="dxa"/>
            <w:shd w:val="clear" w:color="auto" w:fill="auto"/>
            <w:vAlign w:val="center"/>
          </w:tcPr>
          <w:p>
            <w:pPr>
              <w:jc w:val="center"/>
              <w:rPr>
                <w:color w:val="000000"/>
                <w:szCs w:val="21"/>
              </w:rPr>
            </w:pPr>
            <w:r>
              <w:rPr>
                <w:rFonts w:hint="eastAsia"/>
                <w:color w:val="000000"/>
                <w:szCs w:val="21"/>
              </w:rPr>
              <w:t>颗粒物</w:t>
            </w:r>
          </w:p>
        </w:tc>
        <w:tc>
          <w:tcPr>
            <w:tcW w:w="1969" w:type="dxa"/>
            <w:shd w:val="clear" w:color="auto" w:fill="auto"/>
            <w:vAlign w:val="center"/>
          </w:tcPr>
          <w:p>
            <w:pPr>
              <w:jc w:val="center"/>
              <w:rPr>
                <w:color w:val="000000"/>
                <w:szCs w:val="21"/>
              </w:rPr>
            </w:pPr>
            <w:r>
              <w:rPr>
                <w:color w:val="000000"/>
                <w:szCs w:val="21"/>
              </w:rPr>
              <w:t>1</w:t>
            </w:r>
          </w:p>
        </w:tc>
        <w:tc>
          <w:tcPr>
            <w:tcW w:w="1969" w:type="dxa"/>
            <w:shd w:val="clear" w:color="auto" w:fill="auto"/>
            <w:vAlign w:val="center"/>
          </w:tcPr>
          <w:p>
            <w:pPr>
              <w:jc w:val="center"/>
              <w:rPr>
                <w:color w:val="000000"/>
                <w:szCs w:val="21"/>
              </w:rPr>
            </w:pPr>
            <w:r>
              <w:rPr>
                <w:color w:val="000000"/>
                <w:szCs w:val="21"/>
              </w:rPr>
              <w:t>kg PM2.5 eq. / 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129" w:type="dxa"/>
            <w:vMerge w:val="continue"/>
            <w:shd w:val="clear" w:color="auto" w:fill="auto"/>
            <w:vAlign w:val="center"/>
          </w:tcPr>
          <w:p>
            <w:pPr>
              <w:jc w:val="center"/>
              <w:rPr>
                <w:rFonts w:ascii="宋体"/>
                <w:color w:val="000000"/>
                <w:szCs w:val="21"/>
              </w:rPr>
            </w:pPr>
          </w:p>
        </w:tc>
        <w:tc>
          <w:tcPr>
            <w:tcW w:w="1726" w:type="dxa"/>
            <w:vMerge w:val="continue"/>
            <w:shd w:val="clear" w:color="auto" w:fill="auto"/>
            <w:vAlign w:val="center"/>
          </w:tcPr>
          <w:p>
            <w:pPr>
              <w:jc w:val="center"/>
              <w:rPr>
                <w:color w:val="000000"/>
                <w:szCs w:val="21"/>
              </w:rPr>
            </w:pPr>
          </w:p>
        </w:tc>
        <w:tc>
          <w:tcPr>
            <w:tcW w:w="1765" w:type="dxa"/>
            <w:shd w:val="clear" w:color="auto" w:fill="auto"/>
            <w:vAlign w:val="center"/>
          </w:tcPr>
          <w:p>
            <w:pPr>
              <w:jc w:val="center"/>
              <w:rPr>
                <w:color w:val="000000"/>
                <w:szCs w:val="21"/>
              </w:rPr>
            </w:pPr>
            <w:r>
              <w:rPr>
                <w:rFonts w:hint="eastAsia"/>
                <w:color w:val="000000"/>
                <w:szCs w:val="21"/>
              </w:rPr>
              <w:t>二氧化硫</w:t>
            </w:r>
          </w:p>
        </w:tc>
        <w:tc>
          <w:tcPr>
            <w:tcW w:w="1969" w:type="dxa"/>
            <w:shd w:val="clear" w:color="auto" w:fill="auto"/>
            <w:vAlign w:val="center"/>
          </w:tcPr>
          <w:p>
            <w:pPr>
              <w:jc w:val="center"/>
              <w:rPr>
                <w:color w:val="000000"/>
                <w:szCs w:val="21"/>
              </w:rPr>
            </w:pPr>
            <w:r>
              <w:rPr>
                <w:color w:val="000000"/>
                <w:szCs w:val="21"/>
              </w:rPr>
              <w:t>0.29</w:t>
            </w:r>
          </w:p>
        </w:tc>
        <w:tc>
          <w:tcPr>
            <w:tcW w:w="1969" w:type="dxa"/>
            <w:shd w:val="clear" w:color="auto" w:fill="auto"/>
            <w:vAlign w:val="center"/>
          </w:tcPr>
          <w:p>
            <w:pPr>
              <w:jc w:val="center"/>
              <w:rPr>
                <w:color w:val="000000"/>
                <w:szCs w:val="21"/>
              </w:rPr>
            </w:pPr>
            <w:r>
              <w:rPr>
                <w:color w:val="000000"/>
                <w:szCs w:val="21"/>
              </w:rPr>
              <w:t>kg PM2.5 eq. / 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129" w:type="dxa"/>
            <w:vMerge w:val="continue"/>
            <w:shd w:val="clear" w:color="auto" w:fill="auto"/>
            <w:vAlign w:val="center"/>
          </w:tcPr>
          <w:p>
            <w:pPr>
              <w:jc w:val="center"/>
              <w:rPr>
                <w:rFonts w:ascii="宋体"/>
                <w:color w:val="000000"/>
                <w:szCs w:val="21"/>
              </w:rPr>
            </w:pPr>
          </w:p>
        </w:tc>
        <w:tc>
          <w:tcPr>
            <w:tcW w:w="1726" w:type="dxa"/>
            <w:vMerge w:val="continue"/>
            <w:shd w:val="clear" w:color="auto" w:fill="auto"/>
            <w:vAlign w:val="center"/>
          </w:tcPr>
          <w:p>
            <w:pPr>
              <w:jc w:val="center"/>
              <w:rPr>
                <w:color w:val="000000"/>
                <w:szCs w:val="21"/>
              </w:rPr>
            </w:pPr>
          </w:p>
        </w:tc>
        <w:tc>
          <w:tcPr>
            <w:tcW w:w="1765" w:type="dxa"/>
            <w:shd w:val="clear" w:color="auto" w:fill="auto"/>
            <w:vAlign w:val="center"/>
          </w:tcPr>
          <w:p>
            <w:pPr>
              <w:jc w:val="center"/>
              <w:rPr>
                <w:color w:val="000000"/>
                <w:szCs w:val="21"/>
              </w:rPr>
            </w:pPr>
            <w:r>
              <w:rPr>
                <w:rFonts w:hint="eastAsia"/>
                <w:color w:val="000000"/>
                <w:szCs w:val="21"/>
              </w:rPr>
              <w:t>氮氧化物</w:t>
            </w:r>
          </w:p>
        </w:tc>
        <w:tc>
          <w:tcPr>
            <w:tcW w:w="1969" w:type="dxa"/>
            <w:shd w:val="clear" w:color="auto" w:fill="auto"/>
            <w:vAlign w:val="center"/>
          </w:tcPr>
          <w:p>
            <w:pPr>
              <w:jc w:val="center"/>
              <w:rPr>
                <w:color w:val="000000"/>
                <w:szCs w:val="21"/>
              </w:rPr>
            </w:pPr>
            <w:r>
              <w:rPr>
                <w:rFonts w:hint="eastAsia"/>
                <w:color w:val="000000"/>
                <w:szCs w:val="21"/>
              </w:rPr>
              <w:t>0</w:t>
            </w:r>
            <w:r>
              <w:rPr>
                <w:color w:val="000000"/>
                <w:szCs w:val="21"/>
              </w:rPr>
              <w:t>.11</w:t>
            </w:r>
          </w:p>
        </w:tc>
        <w:tc>
          <w:tcPr>
            <w:tcW w:w="1969" w:type="dxa"/>
            <w:shd w:val="clear" w:color="auto" w:fill="auto"/>
            <w:vAlign w:val="center"/>
          </w:tcPr>
          <w:p>
            <w:pPr>
              <w:jc w:val="center"/>
              <w:rPr>
                <w:color w:val="000000"/>
                <w:szCs w:val="21"/>
              </w:rPr>
            </w:pPr>
            <w:r>
              <w:rPr>
                <w:color w:val="000000"/>
                <w:szCs w:val="21"/>
              </w:rPr>
              <w:t>kg PM2.5 eq. / 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129" w:type="dxa"/>
            <w:vMerge w:val="restart"/>
            <w:shd w:val="clear" w:color="auto" w:fill="auto"/>
            <w:vAlign w:val="center"/>
          </w:tcPr>
          <w:p>
            <w:pPr>
              <w:jc w:val="center"/>
              <w:rPr>
                <w:rFonts w:ascii="宋体"/>
                <w:color w:val="000000"/>
                <w:szCs w:val="21"/>
              </w:rPr>
            </w:pPr>
            <w:r>
              <w:rPr>
                <w:rFonts w:hint="eastAsia" w:ascii="宋体"/>
                <w:color w:val="000000"/>
                <w:szCs w:val="21"/>
              </w:rPr>
              <w:t>人体毒性-致癌影响</w:t>
            </w:r>
          </w:p>
        </w:tc>
        <w:tc>
          <w:tcPr>
            <w:tcW w:w="1726" w:type="dxa"/>
            <w:vMerge w:val="restart"/>
            <w:shd w:val="clear" w:color="auto" w:fill="auto"/>
            <w:vAlign w:val="center"/>
          </w:tcPr>
          <w:p>
            <w:pPr>
              <w:jc w:val="center"/>
              <w:rPr>
                <w:rFonts w:ascii="宋体"/>
                <w:color w:val="000000"/>
                <w:szCs w:val="21"/>
              </w:rPr>
            </w:pPr>
            <w:r>
              <w:rPr>
                <w:rFonts w:hint="eastAsia"/>
                <w:color w:val="000000"/>
                <w:szCs w:val="21"/>
              </w:rPr>
              <w:t>kg</w:t>
            </w:r>
            <w:r>
              <w:rPr>
                <w:color w:val="000000"/>
                <w:szCs w:val="21"/>
              </w:rPr>
              <w:t xml:space="preserve"> 1,4-DBC e</w:t>
            </w:r>
            <w:r>
              <w:rPr>
                <w:rFonts w:hint="eastAsia"/>
                <w:color w:val="000000"/>
                <w:szCs w:val="21"/>
              </w:rPr>
              <w:t>q</w:t>
            </w:r>
            <w:r>
              <w:rPr>
                <w:color w:val="000000"/>
                <w:szCs w:val="21"/>
              </w:rPr>
              <w:t>.</w:t>
            </w:r>
          </w:p>
        </w:tc>
        <w:tc>
          <w:tcPr>
            <w:tcW w:w="1765" w:type="dxa"/>
            <w:shd w:val="clear" w:color="auto" w:fill="auto"/>
            <w:vAlign w:val="center"/>
          </w:tcPr>
          <w:p>
            <w:pPr>
              <w:jc w:val="center"/>
              <w:rPr>
                <w:color w:val="000000"/>
                <w:szCs w:val="21"/>
              </w:rPr>
            </w:pPr>
            <w:r>
              <w:rPr>
                <w:rFonts w:hint="eastAsia"/>
                <w:color w:val="000000"/>
                <w:szCs w:val="21"/>
              </w:rPr>
              <w:t>铬</w:t>
            </w:r>
          </w:p>
        </w:tc>
        <w:tc>
          <w:tcPr>
            <w:tcW w:w="1969" w:type="dxa"/>
            <w:shd w:val="clear" w:color="auto" w:fill="auto"/>
            <w:vAlign w:val="center"/>
          </w:tcPr>
          <w:p>
            <w:pPr>
              <w:jc w:val="center"/>
              <w:rPr>
                <w:color w:val="000000"/>
                <w:szCs w:val="21"/>
              </w:rPr>
            </w:pPr>
            <w:r>
              <w:rPr>
                <w:rFonts w:hint="eastAsia"/>
                <w:color w:val="000000"/>
                <w:szCs w:val="21"/>
              </w:rPr>
              <w:t>1</w:t>
            </w:r>
            <w:r>
              <w:rPr>
                <w:color w:val="000000"/>
                <w:szCs w:val="21"/>
              </w:rPr>
              <w:t>9900</w:t>
            </w:r>
          </w:p>
        </w:tc>
        <w:tc>
          <w:tcPr>
            <w:tcW w:w="1969" w:type="dxa"/>
            <w:shd w:val="clear" w:color="auto" w:fill="auto"/>
            <w:vAlign w:val="center"/>
          </w:tcPr>
          <w:p>
            <w:pPr>
              <w:jc w:val="center"/>
              <w:rPr>
                <w:color w:val="000000"/>
                <w:szCs w:val="21"/>
              </w:rPr>
            </w:pPr>
            <w:r>
              <w:rPr>
                <w:rFonts w:hint="eastAsia"/>
                <w:color w:val="000000"/>
                <w:szCs w:val="21"/>
              </w:rPr>
              <w:t>kg</w:t>
            </w:r>
            <w:r>
              <w:rPr>
                <w:color w:val="000000"/>
                <w:szCs w:val="21"/>
              </w:rPr>
              <w:t xml:space="preserve"> 1,4-DBC eq. </w:t>
            </w:r>
            <w:r>
              <w:rPr>
                <w:rFonts w:hint="eastAsia"/>
                <w:color w:val="000000"/>
                <w:szCs w:val="21"/>
              </w:rPr>
              <w:t>/</w:t>
            </w:r>
            <w:r>
              <w:rPr>
                <w:color w:val="000000"/>
                <w:szCs w:val="21"/>
              </w:rPr>
              <w:t xml:space="preserve"> </w:t>
            </w:r>
            <w:r>
              <w:rPr>
                <w:rFonts w:hint="eastAsia"/>
                <w:color w:val="000000"/>
                <w:szCs w:val="21"/>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2129" w:type="dxa"/>
            <w:vMerge w:val="continue"/>
            <w:shd w:val="clear" w:color="auto" w:fill="auto"/>
            <w:vAlign w:val="center"/>
          </w:tcPr>
          <w:p>
            <w:pPr>
              <w:jc w:val="center"/>
              <w:rPr>
                <w:rFonts w:ascii="宋体"/>
                <w:color w:val="000000"/>
                <w:szCs w:val="21"/>
              </w:rPr>
            </w:pPr>
          </w:p>
        </w:tc>
        <w:tc>
          <w:tcPr>
            <w:tcW w:w="1726" w:type="dxa"/>
            <w:vMerge w:val="continue"/>
            <w:shd w:val="clear" w:color="auto" w:fill="auto"/>
            <w:vAlign w:val="center"/>
          </w:tcPr>
          <w:p>
            <w:pPr>
              <w:jc w:val="center"/>
              <w:rPr>
                <w:rFonts w:ascii="宋体"/>
                <w:color w:val="000000"/>
                <w:szCs w:val="21"/>
              </w:rPr>
            </w:pPr>
          </w:p>
        </w:tc>
        <w:tc>
          <w:tcPr>
            <w:tcW w:w="1765" w:type="dxa"/>
            <w:shd w:val="clear" w:color="auto" w:fill="auto"/>
            <w:vAlign w:val="center"/>
          </w:tcPr>
          <w:p>
            <w:pPr>
              <w:jc w:val="center"/>
              <w:rPr>
                <w:color w:val="000000"/>
                <w:szCs w:val="21"/>
              </w:rPr>
            </w:pPr>
            <w:r>
              <w:rPr>
                <w:rFonts w:hint="eastAsia"/>
                <w:color w:val="000000"/>
                <w:szCs w:val="21"/>
              </w:rPr>
              <w:t>镍</w:t>
            </w:r>
          </w:p>
        </w:tc>
        <w:tc>
          <w:tcPr>
            <w:tcW w:w="1969" w:type="dxa"/>
            <w:shd w:val="clear" w:color="auto" w:fill="auto"/>
            <w:vAlign w:val="center"/>
          </w:tcPr>
          <w:p>
            <w:pPr>
              <w:jc w:val="center"/>
              <w:rPr>
                <w:color w:val="000000"/>
                <w:szCs w:val="21"/>
              </w:rPr>
            </w:pPr>
            <w:r>
              <w:rPr>
                <w:rFonts w:hint="eastAsia"/>
                <w:color w:val="000000"/>
                <w:szCs w:val="21"/>
              </w:rPr>
              <w:t>373</w:t>
            </w:r>
          </w:p>
        </w:tc>
        <w:tc>
          <w:tcPr>
            <w:tcW w:w="1969" w:type="dxa"/>
            <w:shd w:val="clear" w:color="auto" w:fill="auto"/>
            <w:vAlign w:val="center"/>
          </w:tcPr>
          <w:p>
            <w:pPr>
              <w:jc w:val="center"/>
              <w:rPr>
                <w:color w:val="000000"/>
                <w:szCs w:val="21"/>
              </w:rPr>
            </w:pPr>
            <w:r>
              <w:rPr>
                <w:rFonts w:hint="eastAsia"/>
                <w:color w:val="000000"/>
                <w:szCs w:val="21"/>
              </w:rPr>
              <w:t>kg</w:t>
            </w:r>
            <w:r>
              <w:rPr>
                <w:color w:val="000000"/>
                <w:szCs w:val="21"/>
              </w:rPr>
              <w:t xml:space="preserve"> 1,4-DBC eq. </w:t>
            </w:r>
            <w:r>
              <w:rPr>
                <w:rFonts w:hint="eastAsia"/>
                <w:color w:val="000000"/>
                <w:szCs w:val="21"/>
              </w:rPr>
              <w:t>/</w:t>
            </w:r>
            <w:r>
              <w:rPr>
                <w:color w:val="000000"/>
                <w:szCs w:val="21"/>
              </w:rPr>
              <w:t xml:space="preserve"> </w:t>
            </w:r>
            <w:r>
              <w:rPr>
                <w:rFonts w:hint="eastAsia"/>
                <w:color w:val="000000"/>
                <w:szCs w:val="21"/>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2129" w:type="dxa"/>
            <w:vMerge w:val="continue"/>
            <w:shd w:val="clear" w:color="auto" w:fill="auto"/>
            <w:vAlign w:val="center"/>
          </w:tcPr>
          <w:p>
            <w:pPr>
              <w:jc w:val="center"/>
              <w:rPr>
                <w:rFonts w:ascii="宋体"/>
                <w:color w:val="000000"/>
                <w:szCs w:val="21"/>
              </w:rPr>
            </w:pPr>
          </w:p>
        </w:tc>
        <w:tc>
          <w:tcPr>
            <w:tcW w:w="1726" w:type="dxa"/>
            <w:vMerge w:val="continue"/>
            <w:shd w:val="clear" w:color="auto" w:fill="auto"/>
            <w:vAlign w:val="center"/>
          </w:tcPr>
          <w:p>
            <w:pPr>
              <w:jc w:val="center"/>
              <w:rPr>
                <w:rFonts w:ascii="宋体"/>
                <w:color w:val="000000"/>
                <w:szCs w:val="21"/>
              </w:rPr>
            </w:pPr>
          </w:p>
        </w:tc>
        <w:tc>
          <w:tcPr>
            <w:tcW w:w="1765" w:type="dxa"/>
            <w:shd w:val="clear" w:color="auto" w:fill="auto"/>
            <w:vAlign w:val="center"/>
          </w:tcPr>
          <w:p>
            <w:pPr>
              <w:jc w:val="center"/>
              <w:rPr>
                <w:color w:val="000000"/>
                <w:szCs w:val="21"/>
              </w:rPr>
            </w:pPr>
            <w:r>
              <w:rPr>
                <w:rFonts w:hint="eastAsia"/>
                <w:color w:val="000000"/>
                <w:szCs w:val="21"/>
              </w:rPr>
              <w:t>汞</w:t>
            </w:r>
          </w:p>
        </w:tc>
        <w:tc>
          <w:tcPr>
            <w:tcW w:w="1969" w:type="dxa"/>
            <w:shd w:val="clear" w:color="auto" w:fill="auto"/>
            <w:vAlign w:val="center"/>
          </w:tcPr>
          <w:p>
            <w:pPr>
              <w:jc w:val="center"/>
              <w:rPr>
                <w:color w:val="000000"/>
                <w:szCs w:val="21"/>
              </w:rPr>
            </w:pPr>
            <w:r>
              <w:rPr>
                <w:rFonts w:hint="eastAsia"/>
                <w:color w:val="000000"/>
                <w:szCs w:val="21"/>
              </w:rPr>
              <w:t>69.6</w:t>
            </w:r>
          </w:p>
        </w:tc>
        <w:tc>
          <w:tcPr>
            <w:tcW w:w="1969" w:type="dxa"/>
            <w:shd w:val="clear" w:color="auto" w:fill="auto"/>
            <w:vAlign w:val="center"/>
          </w:tcPr>
          <w:p>
            <w:pPr>
              <w:jc w:val="center"/>
              <w:rPr>
                <w:color w:val="000000"/>
                <w:szCs w:val="21"/>
              </w:rPr>
            </w:pPr>
            <w:r>
              <w:rPr>
                <w:rFonts w:hint="eastAsia"/>
                <w:color w:val="000000"/>
                <w:szCs w:val="21"/>
              </w:rPr>
              <w:t>kg</w:t>
            </w:r>
            <w:r>
              <w:rPr>
                <w:color w:val="000000"/>
                <w:szCs w:val="21"/>
              </w:rPr>
              <w:t xml:space="preserve"> 1,4-DBC eq. </w:t>
            </w:r>
            <w:r>
              <w:rPr>
                <w:rFonts w:hint="eastAsia"/>
                <w:color w:val="000000"/>
                <w:szCs w:val="21"/>
              </w:rPr>
              <w:t>/</w:t>
            </w:r>
            <w:r>
              <w:rPr>
                <w:color w:val="000000"/>
                <w:szCs w:val="21"/>
              </w:rPr>
              <w:t xml:space="preserve"> </w:t>
            </w:r>
            <w:r>
              <w:rPr>
                <w:rFonts w:hint="eastAsia"/>
                <w:color w:val="000000"/>
                <w:szCs w:val="21"/>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129" w:type="dxa"/>
            <w:vMerge w:val="restart"/>
            <w:shd w:val="clear" w:color="auto" w:fill="auto"/>
            <w:vAlign w:val="center"/>
          </w:tcPr>
          <w:p>
            <w:pPr>
              <w:jc w:val="center"/>
              <w:rPr>
                <w:rFonts w:ascii="宋体"/>
                <w:color w:val="000000"/>
                <w:szCs w:val="21"/>
              </w:rPr>
            </w:pPr>
            <w:r>
              <w:rPr>
                <w:rFonts w:hint="eastAsia"/>
                <w:color w:val="000000"/>
                <w:szCs w:val="21"/>
              </w:rPr>
              <w:t>人体毒性-非致癌影响</w:t>
            </w:r>
          </w:p>
        </w:tc>
        <w:tc>
          <w:tcPr>
            <w:tcW w:w="1726" w:type="dxa"/>
            <w:vMerge w:val="restart"/>
            <w:shd w:val="clear" w:color="auto" w:fill="auto"/>
            <w:vAlign w:val="center"/>
          </w:tcPr>
          <w:p>
            <w:pPr>
              <w:jc w:val="center"/>
              <w:rPr>
                <w:rFonts w:ascii="宋体"/>
                <w:color w:val="000000"/>
                <w:szCs w:val="21"/>
              </w:rPr>
            </w:pPr>
            <w:r>
              <w:rPr>
                <w:rFonts w:hint="eastAsia"/>
                <w:color w:val="000000"/>
                <w:szCs w:val="21"/>
              </w:rPr>
              <w:t>kg</w:t>
            </w:r>
            <w:r>
              <w:rPr>
                <w:color w:val="000000"/>
                <w:szCs w:val="21"/>
              </w:rPr>
              <w:t xml:space="preserve"> 1,4-DBC e</w:t>
            </w:r>
            <w:r>
              <w:rPr>
                <w:rFonts w:hint="eastAsia"/>
                <w:color w:val="000000"/>
                <w:szCs w:val="21"/>
              </w:rPr>
              <w:t>q.</w:t>
            </w:r>
          </w:p>
        </w:tc>
        <w:tc>
          <w:tcPr>
            <w:tcW w:w="1765" w:type="dxa"/>
            <w:shd w:val="clear" w:color="auto" w:fill="auto"/>
            <w:vAlign w:val="center"/>
          </w:tcPr>
          <w:p>
            <w:pPr>
              <w:jc w:val="center"/>
              <w:rPr>
                <w:color w:val="000000"/>
                <w:szCs w:val="21"/>
              </w:rPr>
            </w:pPr>
            <w:r>
              <w:rPr>
                <w:rFonts w:hint="eastAsia" w:ascii="宋体" w:hAnsi="宋体" w:cs="宋体"/>
                <w:color w:val="000000"/>
                <w:szCs w:val="21"/>
                <w:lang w:bidi="ar"/>
              </w:rPr>
              <w:t>锌</w:t>
            </w:r>
          </w:p>
        </w:tc>
        <w:tc>
          <w:tcPr>
            <w:tcW w:w="1969" w:type="dxa"/>
            <w:shd w:val="clear" w:color="auto" w:fill="auto"/>
            <w:vAlign w:val="center"/>
          </w:tcPr>
          <w:p>
            <w:pPr>
              <w:jc w:val="center"/>
              <w:rPr>
                <w:color w:val="000000"/>
                <w:szCs w:val="21"/>
              </w:rPr>
            </w:pPr>
            <w:r>
              <w:rPr>
                <w:rFonts w:hint="eastAsia"/>
                <w:color w:val="000000"/>
                <w:szCs w:val="21"/>
              </w:rPr>
              <w:t>282</w:t>
            </w:r>
            <w:r>
              <w:rPr>
                <w:color w:val="000000"/>
                <w:szCs w:val="21"/>
              </w:rPr>
              <w:t>000</w:t>
            </w:r>
          </w:p>
        </w:tc>
        <w:tc>
          <w:tcPr>
            <w:tcW w:w="1969" w:type="dxa"/>
            <w:shd w:val="clear" w:color="auto" w:fill="auto"/>
            <w:vAlign w:val="center"/>
          </w:tcPr>
          <w:p>
            <w:pPr>
              <w:jc w:val="center"/>
              <w:rPr>
                <w:color w:val="000000"/>
                <w:szCs w:val="21"/>
              </w:rPr>
            </w:pPr>
            <w:r>
              <w:rPr>
                <w:rFonts w:hint="eastAsia"/>
                <w:color w:val="000000"/>
                <w:szCs w:val="21"/>
              </w:rPr>
              <w:t>kg</w:t>
            </w:r>
            <w:r>
              <w:rPr>
                <w:color w:val="000000"/>
                <w:szCs w:val="21"/>
              </w:rPr>
              <w:t xml:space="preserve"> 1,4-DBC eq. </w:t>
            </w:r>
            <w:r>
              <w:rPr>
                <w:rFonts w:hint="eastAsia"/>
                <w:color w:val="000000"/>
                <w:szCs w:val="21"/>
              </w:rPr>
              <w:t>/</w:t>
            </w:r>
            <w:r>
              <w:rPr>
                <w:color w:val="000000"/>
                <w:szCs w:val="21"/>
              </w:rPr>
              <w:t xml:space="preserve"> </w:t>
            </w:r>
            <w:r>
              <w:rPr>
                <w:rFonts w:hint="eastAsia"/>
                <w:color w:val="000000"/>
                <w:szCs w:val="21"/>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2129" w:type="dxa"/>
            <w:vMerge w:val="continue"/>
            <w:shd w:val="clear" w:color="auto" w:fill="auto"/>
            <w:vAlign w:val="center"/>
          </w:tcPr>
          <w:p>
            <w:pPr>
              <w:jc w:val="center"/>
              <w:rPr>
                <w:color w:val="000000"/>
                <w:szCs w:val="21"/>
              </w:rPr>
            </w:pPr>
          </w:p>
        </w:tc>
        <w:tc>
          <w:tcPr>
            <w:tcW w:w="1726" w:type="dxa"/>
            <w:vMerge w:val="continue"/>
            <w:shd w:val="clear" w:color="auto" w:fill="auto"/>
            <w:vAlign w:val="center"/>
          </w:tcPr>
          <w:p>
            <w:pPr>
              <w:jc w:val="center"/>
              <w:rPr>
                <w:rFonts w:ascii="宋体"/>
                <w:color w:val="000000"/>
                <w:szCs w:val="21"/>
              </w:rPr>
            </w:pPr>
          </w:p>
        </w:tc>
        <w:tc>
          <w:tcPr>
            <w:tcW w:w="1765" w:type="dxa"/>
            <w:shd w:val="clear" w:color="auto" w:fill="auto"/>
            <w:vAlign w:val="center"/>
          </w:tcPr>
          <w:p>
            <w:pPr>
              <w:jc w:val="center"/>
              <w:rPr>
                <w:color w:val="000000"/>
                <w:szCs w:val="21"/>
              </w:rPr>
            </w:pPr>
            <w:r>
              <w:rPr>
                <w:rFonts w:hint="eastAsia"/>
                <w:color w:val="000000"/>
                <w:szCs w:val="21"/>
              </w:rPr>
              <w:t>汞</w:t>
            </w:r>
          </w:p>
        </w:tc>
        <w:tc>
          <w:tcPr>
            <w:tcW w:w="1969" w:type="dxa"/>
            <w:shd w:val="clear" w:color="auto" w:fill="auto"/>
            <w:vAlign w:val="center"/>
          </w:tcPr>
          <w:p>
            <w:pPr>
              <w:jc w:val="center"/>
              <w:rPr>
                <w:color w:val="000000"/>
                <w:szCs w:val="21"/>
              </w:rPr>
            </w:pPr>
            <w:r>
              <w:rPr>
                <w:rFonts w:hint="eastAsia"/>
                <w:color w:val="000000"/>
                <w:szCs w:val="21"/>
              </w:rPr>
              <w:t>681</w:t>
            </w:r>
            <w:r>
              <w:rPr>
                <w:color w:val="000000"/>
                <w:szCs w:val="21"/>
              </w:rPr>
              <w:t>000</w:t>
            </w:r>
          </w:p>
        </w:tc>
        <w:tc>
          <w:tcPr>
            <w:tcW w:w="1969" w:type="dxa"/>
            <w:shd w:val="clear" w:color="auto" w:fill="auto"/>
            <w:vAlign w:val="center"/>
          </w:tcPr>
          <w:p>
            <w:pPr>
              <w:jc w:val="center"/>
              <w:rPr>
                <w:color w:val="000000"/>
                <w:szCs w:val="21"/>
              </w:rPr>
            </w:pPr>
            <w:r>
              <w:rPr>
                <w:rFonts w:hint="eastAsia"/>
                <w:color w:val="000000"/>
                <w:szCs w:val="21"/>
              </w:rPr>
              <w:t>kg</w:t>
            </w:r>
            <w:r>
              <w:rPr>
                <w:color w:val="000000"/>
                <w:szCs w:val="21"/>
              </w:rPr>
              <w:t xml:space="preserve"> 1,4-DBC eq. </w:t>
            </w:r>
            <w:r>
              <w:rPr>
                <w:rFonts w:hint="eastAsia"/>
                <w:color w:val="000000"/>
                <w:szCs w:val="21"/>
              </w:rPr>
              <w:t>/</w:t>
            </w:r>
            <w:r>
              <w:rPr>
                <w:color w:val="000000"/>
                <w:szCs w:val="21"/>
              </w:rPr>
              <w:t xml:space="preserve"> </w:t>
            </w:r>
            <w:r>
              <w:rPr>
                <w:rFonts w:hint="eastAsia"/>
                <w:color w:val="000000"/>
                <w:szCs w:val="21"/>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trPr>
        <w:tc>
          <w:tcPr>
            <w:tcW w:w="2129" w:type="dxa"/>
            <w:vMerge w:val="continue"/>
            <w:shd w:val="clear" w:color="auto" w:fill="auto"/>
            <w:vAlign w:val="center"/>
          </w:tcPr>
          <w:p>
            <w:pPr>
              <w:jc w:val="center"/>
              <w:rPr>
                <w:color w:val="000000"/>
                <w:szCs w:val="21"/>
              </w:rPr>
            </w:pPr>
          </w:p>
        </w:tc>
        <w:tc>
          <w:tcPr>
            <w:tcW w:w="1726" w:type="dxa"/>
            <w:vMerge w:val="continue"/>
            <w:shd w:val="clear" w:color="auto" w:fill="auto"/>
            <w:vAlign w:val="center"/>
          </w:tcPr>
          <w:p>
            <w:pPr>
              <w:jc w:val="center"/>
              <w:rPr>
                <w:rFonts w:ascii="宋体"/>
                <w:color w:val="000000"/>
                <w:szCs w:val="21"/>
              </w:rPr>
            </w:pPr>
          </w:p>
        </w:tc>
        <w:tc>
          <w:tcPr>
            <w:tcW w:w="1765" w:type="dxa"/>
            <w:shd w:val="clear" w:color="auto" w:fill="auto"/>
            <w:vAlign w:val="center"/>
          </w:tcPr>
          <w:p>
            <w:pPr>
              <w:jc w:val="center"/>
              <w:rPr>
                <w:color w:val="000000"/>
                <w:szCs w:val="21"/>
              </w:rPr>
            </w:pPr>
            <w:r>
              <w:rPr>
                <w:rFonts w:hint="eastAsia"/>
                <w:color w:val="000000"/>
                <w:szCs w:val="21"/>
              </w:rPr>
              <w:t>镉</w:t>
            </w:r>
          </w:p>
        </w:tc>
        <w:tc>
          <w:tcPr>
            <w:tcW w:w="1969" w:type="dxa"/>
            <w:shd w:val="clear" w:color="auto" w:fill="auto"/>
            <w:vAlign w:val="center"/>
          </w:tcPr>
          <w:p>
            <w:pPr>
              <w:jc w:val="center"/>
              <w:rPr>
                <w:color w:val="000000"/>
                <w:szCs w:val="21"/>
              </w:rPr>
            </w:pPr>
            <w:r>
              <w:rPr>
                <w:rFonts w:hint="eastAsia"/>
                <w:color w:val="000000"/>
                <w:szCs w:val="21"/>
              </w:rPr>
              <w:t>119</w:t>
            </w:r>
            <w:r>
              <w:rPr>
                <w:color w:val="000000"/>
                <w:szCs w:val="21"/>
              </w:rPr>
              <w:t>0000</w:t>
            </w:r>
          </w:p>
        </w:tc>
        <w:tc>
          <w:tcPr>
            <w:tcW w:w="1969" w:type="dxa"/>
            <w:shd w:val="clear" w:color="auto" w:fill="auto"/>
            <w:vAlign w:val="center"/>
          </w:tcPr>
          <w:p>
            <w:pPr>
              <w:jc w:val="center"/>
              <w:rPr>
                <w:color w:val="000000"/>
                <w:szCs w:val="21"/>
              </w:rPr>
            </w:pPr>
            <w:r>
              <w:rPr>
                <w:rFonts w:hint="eastAsia"/>
                <w:color w:val="000000"/>
                <w:szCs w:val="21"/>
              </w:rPr>
              <w:t>kg</w:t>
            </w:r>
            <w:r>
              <w:rPr>
                <w:color w:val="000000"/>
                <w:szCs w:val="21"/>
              </w:rPr>
              <w:t xml:space="preserve"> 1,4-DBC eq. </w:t>
            </w:r>
            <w:r>
              <w:rPr>
                <w:rFonts w:hint="eastAsia"/>
                <w:color w:val="000000"/>
                <w:szCs w:val="21"/>
              </w:rPr>
              <w:t>/</w:t>
            </w:r>
            <w:r>
              <w:rPr>
                <w:color w:val="000000"/>
                <w:szCs w:val="21"/>
              </w:rPr>
              <w:t xml:space="preserve"> </w:t>
            </w:r>
            <w:r>
              <w:rPr>
                <w:rFonts w:hint="eastAsia"/>
                <w:color w:val="000000"/>
                <w:szCs w:val="21"/>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jc w:val="center"/>
        </w:trPr>
        <w:tc>
          <w:tcPr>
            <w:tcW w:w="2129" w:type="dxa"/>
            <w:vMerge w:val="restart"/>
            <w:shd w:val="clear" w:color="auto" w:fill="auto"/>
            <w:vAlign w:val="center"/>
          </w:tcPr>
          <w:p>
            <w:pPr>
              <w:jc w:val="center"/>
              <w:rPr>
                <w:color w:val="000000"/>
                <w:szCs w:val="21"/>
              </w:rPr>
            </w:pPr>
            <w:r>
              <w:rPr>
                <w:rFonts w:hint="eastAsia"/>
                <w:color w:val="000000"/>
                <w:szCs w:val="21"/>
              </w:rPr>
              <w:t>陆地生态系统酸化</w:t>
            </w:r>
          </w:p>
        </w:tc>
        <w:tc>
          <w:tcPr>
            <w:tcW w:w="1726" w:type="dxa"/>
            <w:vMerge w:val="restart"/>
            <w:shd w:val="clear" w:color="auto" w:fill="auto"/>
            <w:vAlign w:val="center"/>
          </w:tcPr>
          <w:p>
            <w:pPr>
              <w:jc w:val="center"/>
              <w:rPr>
                <w:color w:val="000000"/>
                <w:szCs w:val="21"/>
              </w:rPr>
            </w:pPr>
            <w:r>
              <w:rPr>
                <w:color w:val="000000"/>
                <w:szCs w:val="21"/>
              </w:rPr>
              <w:t>kg SO</w:t>
            </w:r>
            <w:r>
              <w:rPr>
                <w:color w:val="000000"/>
                <w:szCs w:val="21"/>
                <w:vertAlign w:val="subscript"/>
              </w:rPr>
              <w:t>2</w:t>
            </w:r>
            <w:r>
              <w:rPr>
                <w:color w:val="000000"/>
                <w:szCs w:val="21"/>
              </w:rPr>
              <w:t xml:space="preserve"> eq</w:t>
            </w:r>
          </w:p>
        </w:tc>
        <w:tc>
          <w:tcPr>
            <w:tcW w:w="1765" w:type="dxa"/>
            <w:shd w:val="clear" w:color="auto" w:fill="auto"/>
            <w:vAlign w:val="center"/>
          </w:tcPr>
          <w:p>
            <w:pPr>
              <w:jc w:val="center"/>
              <w:rPr>
                <w:color w:val="000000"/>
                <w:szCs w:val="21"/>
              </w:rPr>
            </w:pPr>
            <w:r>
              <w:rPr>
                <w:rFonts w:hint="eastAsia"/>
                <w:color w:val="000000"/>
                <w:szCs w:val="21"/>
              </w:rPr>
              <w:t>氨气</w:t>
            </w:r>
          </w:p>
        </w:tc>
        <w:tc>
          <w:tcPr>
            <w:tcW w:w="1969" w:type="dxa"/>
            <w:shd w:val="clear" w:color="auto" w:fill="auto"/>
            <w:vAlign w:val="center"/>
          </w:tcPr>
          <w:p>
            <w:pPr>
              <w:jc w:val="center"/>
              <w:rPr>
                <w:color w:val="000000"/>
                <w:szCs w:val="21"/>
              </w:rPr>
            </w:pPr>
            <w:r>
              <w:rPr>
                <w:rFonts w:hint="eastAsia"/>
                <w:color w:val="000000"/>
                <w:szCs w:val="21"/>
              </w:rPr>
              <w:t>1</w:t>
            </w:r>
            <w:r>
              <w:rPr>
                <w:color w:val="000000"/>
                <w:szCs w:val="21"/>
              </w:rPr>
              <w:t>.96</w:t>
            </w:r>
          </w:p>
        </w:tc>
        <w:tc>
          <w:tcPr>
            <w:tcW w:w="1969" w:type="dxa"/>
            <w:shd w:val="clear" w:color="auto" w:fill="auto"/>
            <w:vAlign w:val="center"/>
          </w:tcPr>
          <w:p>
            <w:pPr>
              <w:jc w:val="center"/>
              <w:rPr>
                <w:color w:val="000000"/>
                <w:szCs w:val="21"/>
              </w:rPr>
            </w:pPr>
            <w:r>
              <w:rPr>
                <w:color w:val="000000"/>
                <w:szCs w:val="21"/>
              </w:rPr>
              <w:t>kg SO</w:t>
            </w:r>
            <w:r>
              <w:rPr>
                <w:color w:val="000000"/>
                <w:szCs w:val="21"/>
                <w:vertAlign w:val="subscript"/>
              </w:rPr>
              <w:t>2</w:t>
            </w:r>
            <w:r>
              <w:rPr>
                <w:color w:val="000000"/>
                <w:szCs w:val="21"/>
              </w:rPr>
              <w:t xml:space="preserve"> eq. / 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jc w:val="center"/>
        </w:trPr>
        <w:tc>
          <w:tcPr>
            <w:tcW w:w="2129" w:type="dxa"/>
            <w:vMerge w:val="continue"/>
            <w:shd w:val="clear" w:color="auto" w:fill="auto"/>
            <w:vAlign w:val="center"/>
          </w:tcPr>
          <w:p>
            <w:pPr>
              <w:jc w:val="center"/>
              <w:rPr>
                <w:color w:val="000000"/>
                <w:szCs w:val="21"/>
              </w:rPr>
            </w:pPr>
          </w:p>
        </w:tc>
        <w:tc>
          <w:tcPr>
            <w:tcW w:w="1726" w:type="dxa"/>
            <w:vMerge w:val="continue"/>
            <w:shd w:val="clear" w:color="auto" w:fill="auto"/>
            <w:vAlign w:val="center"/>
          </w:tcPr>
          <w:p>
            <w:pPr>
              <w:jc w:val="center"/>
              <w:rPr>
                <w:color w:val="000000"/>
                <w:szCs w:val="21"/>
              </w:rPr>
            </w:pPr>
          </w:p>
        </w:tc>
        <w:tc>
          <w:tcPr>
            <w:tcW w:w="1765" w:type="dxa"/>
            <w:shd w:val="clear" w:color="auto" w:fill="auto"/>
            <w:vAlign w:val="center"/>
          </w:tcPr>
          <w:p>
            <w:pPr>
              <w:jc w:val="center"/>
              <w:rPr>
                <w:color w:val="000000"/>
                <w:szCs w:val="21"/>
              </w:rPr>
            </w:pPr>
            <w:r>
              <w:rPr>
                <w:rFonts w:hint="eastAsia"/>
                <w:color w:val="000000"/>
                <w:szCs w:val="21"/>
              </w:rPr>
              <w:t>二氧化硫</w:t>
            </w:r>
          </w:p>
        </w:tc>
        <w:tc>
          <w:tcPr>
            <w:tcW w:w="1969" w:type="dxa"/>
            <w:shd w:val="clear" w:color="auto" w:fill="auto"/>
            <w:vAlign w:val="center"/>
          </w:tcPr>
          <w:p>
            <w:pPr>
              <w:jc w:val="center"/>
              <w:rPr>
                <w:color w:val="000000"/>
                <w:szCs w:val="21"/>
              </w:rPr>
            </w:pPr>
            <w:r>
              <w:rPr>
                <w:color w:val="000000"/>
                <w:szCs w:val="21"/>
              </w:rPr>
              <w:t>1</w:t>
            </w:r>
          </w:p>
        </w:tc>
        <w:tc>
          <w:tcPr>
            <w:tcW w:w="1969" w:type="dxa"/>
            <w:shd w:val="clear" w:color="auto" w:fill="auto"/>
            <w:vAlign w:val="center"/>
          </w:tcPr>
          <w:p>
            <w:pPr>
              <w:jc w:val="center"/>
              <w:rPr>
                <w:color w:val="000000"/>
                <w:szCs w:val="21"/>
              </w:rPr>
            </w:pPr>
            <w:r>
              <w:rPr>
                <w:color w:val="000000"/>
                <w:szCs w:val="21"/>
              </w:rPr>
              <w:t>kg SO</w:t>
            </w:r>
            <w:r>
              <w:rPr>
                <w:color w:val="000000"/>
                <w:szCs w:val="21"/>
                <w:vertAlign w:val="subscript"/>
              </w:rPr>
              <w:t>2</w:t>
            </w:r>
            <w:r>
              <w:rPr>
                <w:color w:val="000000"/>
                <w:szCs w:val="21"/>
              </w:rPr>
              <w:t xml:space="preserve"> eq. / 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129" w:type="dxa"/>
            <w:vMerge w:val="continue"/>
            <w:shd w:val="clear" w:color="auto" w:fill="auto"/>
            <w:vAlign w:val="center"/>
          </w:tcPr>
          <w:p>
            <w:pPr>
              <w:jc w:val="center"/>
              <w:rPr>
                <w:color w:val="000000"/>
                <w:szCs w:val="21"/>
              </w:rPr>
            </w:pPr>
          </w:p>
        </w:tc>
        <w:tc>
          <w:tcPr>
            <w:tcW w:w="1726" w:type="dxa"/>
            <w:vMerge w:val="continue"/>
            <w:shd w:val="clear" w:color="auto" w:fill="auto"/>
            <w:vAlign w:val="center"/>
          </w:tcPr>
          <w:p>
            <w:pPr>
              <w:jc w:val="center"/>
              <w:rPr>
                <w:color w:val="000000"/>
                <w:szCs w:val="21"/>
              </w:rPr>
            </w:pPr>
          </w:p>
        </w:tc>
        <w:tc>
          <w:tcPr>
            <w:tcW w:w="1765" w:type="dxa"/>
            <w:shd w:val="clear" w:color="auto" w:fill="auto"/>
            <w:vAlign w:val="center"/>
          </w:tcPr>
          <w:p>
            <w:pPr>
              <w:jc w:val="center"/>
              <w:rPr>
                <w:color w:val="000000"/>
                <w:szCs w:val="21"/>
              </w:rPr>
            </w:pPr>
            <w:r>
              <w:rPr>
                <w:rFonts w:hint="eastAsia"/>
                <w:color w:val="000000"/>
                <w:szCs w:val="21"/>
              </w:rPr>
              <w:t>氮氧化物</w:t>
            </w:r>
          </w:p>
        </w:tc>
        <w:tc>
          <w:tcPr>
            <w:tcW w:w="1969" w:type="dxa"/>
            <w:shd w:val="clear" w:color="auto" w:fill="auto"/>
            <w:vAlign w:val="center"/>
          </w:tcPr>
          <w:p>
            <w:pPr>
              <w:jc w:val="center"/>
              <w:rPr>
                <w:color w:val="000000"/>
                <w:szCs w:val="21"/>
              </w:rPr>
            </w:pPr>
            <w:r>
              <w:rPr>
                <w:color w:val="000000"/>
                <w:szCs w:val="21"/>
              </w:rPr>
              <w:t>0.</w:t>
            </w:r>
            <w:r>
              <w:rPr>
                <w:rFonts w:hint="eastAsia"/>
                <w:color w:val="000000"/>
                <w:szCs w:val="21"/>
              </w:rPr>
              <w:t>36</w:t>
            </w:r>
          </w:p>
        </w:tc>
        <w:tc>
          <w:tcPr>
            <w:tcW w:w="1969" w:type="dxa"/>
            <w:shd w:val="clear" w:color="auto" w:fill="auto"/>
            <w:vAlign w:val="center"/>
          </w:tcPr>
          <w:p>
            <w:pPr>
              <w:jc w:val="center"/>
              <w:rPr>
                <w:color w:val="000000"/>
                <w:szCs w:val="21"/>
              </w:rPr>
            </w:pPr>
            <w:r>
              <w:rPr>
                <w:color w:val="000000"/>
                <w:szCs w:val="21"/>
              </w:rPr>
              <w:t>kg SO</w:t>
            </w:r>
            <w:r>
              <w:rPr>
                <w:color w:val="000000"/>
                <w:szCs w:val="21"/>
                <w:vertAlign w:val="subscript"/>
              </w:rPr>
              <w:t>2</w:t>
            </w:r>
            <w:r>
              <w:rPr>
                <w:color w:val="000000"/>
                <w:szCs w:val="21"/>
              </w:rPr>
              <w:t xml:space="preserve"> eq. / 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129" w:type="dxa"/>
            <w:vMerge w:val="restart"/>
            <w:shd w:val="clear" w:color="auto" w:fill="auto"/>
            <w:vAlign w:val="center"/>
          </w:tcPr>
          <w:p>
            <w:pPr>
              <w:jc w:val="center"/>
              <w:rPr>
                <w:color w:val="000000"/>
                <w:szCs w:val="21"/>
              </w:rPr>
            </w:pPr>
            <w:r>
              <w:rPr>
                <w:rFonts w:hint="eastAsia" w:ascii="宋体"/>
                <w:color w:val="000000"/>
                <w:szCs w:val="21"/>
              </w:rPr>
              <w:t>化石资源稀缺</w:t>
            </w:r>
          </w:p>
        </w:tc>
        <w:tc>
          <w:tcPr>
            <w:tcW w:w="1726" w:type="dxa"/>
            <w:vMerge w:val="restart"/>
            <w:shd w:val="clear" w:color="auto" w:fill="auto"/>
            <w:vAlign w:val="center"/>
          </w:tcPr>
          <w:p>
            <w:pPr>
              <w:jc w:val="center"/>
              <w:rPr>
                <w:color w:val="000000"/>
                <w:szCs w:val="21"/>
              </w:rPr>
            </w:pPr>
            <w:r>
              <w:rPr>
                <w:color w:val="000000"/>
                <w:szCs w:val="21"/>
              </w:rPr>
              <w:t>kg oil eq.</w:t>
            </w:r>
          </w:p>
        </w:tc>
        <w:tc>
          <w:tcPr>
            <w:tcW w:w="1765" w:type="dxa"/>
            <w:shd w:val="clear" w:color="auto" w:fill="auto"/>
            <w:vAlign w:val="center"/>
          </w:tcPr>
          <w:p>
            <w:pPr>
              <w:jc w:val="center"/>
              <w:rPr>
                <w:color w:val="000000"/>
                <w:szCs w:val="21"/>
              </w:rPr>
            </w:pPr>
            <w:r>
              <w:rPr>
                <w:rFonts w:hint="eastAsia"/>
                <w:color w:val="000000"/>
                <w:szCs w:val="21"/>
              </w:rPr>
              <w:t>原煤</w:t>
            </w:r>
          </w:p>
        </w:tc>
        <w:tc>
          <w:tcPr>
            <w:tcW w:w="1969" w:type="dxa"/>
            <w:shd w:val="clear" w:color="auto" w:fill="auto"/>
            <w:vAlign w:val="center"/>
          </w:tcPr>
          <w:p>
            <w:pPr>
              <w:jc w:val="center"/>
              <w:rPr>
                <w:color w:val="000000"/>
                <w:szCs w:val="21"/>
              </w:rPr>
            </w:pPr>
            <w:r>
              <w:rPr>
                <w:color w:val="000000"/>
                <w:szCs w:val="21"/>
              </w:rPr>
              <w:t>0.42</w:t>
            </w:r>
          </w:p>
        </w:tc>
        <w:tc>
          <w:tcPr>
            <w:tcW w:w="1969" w:type="dxa"/>
            <w:shd w:val="clear" w:color="auto" w:fill="auto"/>
            <w:vAlign w:val="center"/>
          </w:tcPr>
          <w:p>
            <w:pPr>
              <w:jc w:val="center"/>
              <w:rPr>
                <w:color w:val="000000"/>
                <w:szCs w:val="21"/>
              </w:rPr>
            </w:pPr>
            <w:r>
              <w:rPr>
                <w:rFonts w:hint="eastAsia"/>
                <w:color w:val="000000"/>
                <w:szCs w:val="21"/>
              </w:rPr>
              <w:t>k</w:t>
            </w:r>
            <w:r>
              <w:rPr>
                <w:color w:val="000000"/>
                <w:szCs w:val="21"/>
              </w:rPr>
              <w:t>g oil eq. / 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trPr>
        <w:tc>
          <w:tcPr>
            <w:tcW w:w="2129" w:type="dxa"/>
            <w:vMerge w:val="continue"/>
            <w:shd w:val="clear" w:color="auto" w:fill="auto"/>
            <w:vAlign w:val="center"/>
          </w:tcPr>
          <w:p>
            <w:pPr>
              <w:jc w:val="center"/>
              <w:rPr>
                <w:color w:val="000000"/>
                <w:szCs w:val="21"/>
              </w:rPr>
            </w:pPr>
          </w:p>
        </w:tc>
        <w:tc>
          <w:tcPr>
            <w:tcW w:w="1726" w:type="dxa"/>
            <w:vMerge w:val="continue"/>
            <w:shd w:val="clear" w:color="auto" w:fill="auto"/>
            <w:vAlign w:val="center"/>
          </w:tcPr>
          <w:p>
            <w:pPr>
              <w:jc w:val="center"/>
              <w:rPr>
                <w:color w:val="000000"/>
                <w:szCs w:val="21"/>
              </w:rPr>
            </w:pPr>
          </w:p>
        </w:tc>
        <w:tc>
          <w:tcPr>
            <w:tcW w:w="1765" w:type="dxa"/>
            <w:shd w:val="clear" w:color="auto" w:fill="auto"/>
            <w:vAlign w:val="center"/>
          </w:tcPr>
          <w:p>
            <w:pPr>
              <w:jc w:val="center"/>
              <w:rPr>
                <w:color w:val="000000"/>
                <w:szCs w:val="21"/>
              </w:rPr>
            </w:pPr>
            <w:r>
              <w:rPr>
                <w:rFonts w:hint="eastAsia"/>
                <w:color w:val="000000"/>
                <w:szCs w:val="21"/>
              </w:rPr>
              <w:t>原油</w:t>
            </w:r>
          </w:p>
        </w:tc>
        <w:tc>
          <w:tcPr>
            <w:tcW w:w="1969" w:type="dxa"/>
            <w:shd w:val="clear" w:color="auto" w:fill="auto"/>
            <w:vAlign w:val="center"/>
          </w:tcPr>
          <w:p>
            <w:pPr>
              <w:jc w:val="center"/>
              <w:rPr>
                <w:color w:val="000000"/>
                <w:szCs w:val="21"/>
              </w:rPr>
            </w:pPr>
            <w:r>
              <w:rPr>
                <w:color w:val="000000"/>
                <w:szCs w:val="21"/>
              </w:rPr>
              <w:t>1</w:t>
            </w:r>
          </w:p>
        </w:tc>
        <w:tc>
          <w:tcPr>
            <w:tcW w:w="1969" w:type="dxa"/>
            <w:shd w:val="clear" w:color="auto" w:fill="auto"/>
            <w:vAlign w:val="center"/>
          </w:tcPr>
          <w:p>
            <w:pPr>
              <w:jc w:val="center"/>
              <w:rPr>
                <w:color w:val="000000"/>
                <w:szCs w:val="21"/>
              </w:rPr>
            </w:pPr>
            <w:r>
              <w:rPr>
                <w:rFonts w:hint="eastAsia"/>
                <w:color w:val="000000"/>
                <w:szCs w:val="21"/>
              </w:rPr>
              <w:t>k</w:t>
            </w:r>
            <w:r>
              <w:rPr>
                <w:color w:val="000000"/>
                <w:szCs w:val="21"/>
              </w:rPr>
              <w:t>g oil eq. / 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trPr>
        <w:tc>
          <w:tcPr>
            <w:tcW w:w="2129" w:type="dxa"/>
            <w:vMerge w:val="continue"/>
            <w:shd w:val="clear" w:color="auto" w:fill="auto"/>
            <w:vAlign w:val="center"/>
          </w:tcPr>
          <w:p>
            <w:pPr>
              <w:jc w:val="center"/>
              <w:rPr>
                <w:color w:val="000000"/>
                <w:szCs w:val="21"/>
              </w:rPr>
            </w:pPr>
          </w:p>
        </w:tc>
        <w:tc>
          <w:tcPr>
            <w:tcW w:w="1726" w:type="dxa"/>
            <w:vMerge w:val="continue"/>
            <w:shd w:val="clear" w:color="auto" w:fill="auto"/>
            <w:vAlign w:val="center"/>
          </w:tcPr>
          <w:p>
            <w:pPr>
              <w:jc w:val="center"/>
              <w:rPr>
                <w:color w:val="000000"/>
                <w:szCs w:val="21"/>
              </w:rPr>
            </w:pPr>
          </w:p>
        </w:tc>
        <w:tc>
          <w:tcPr>
            <w:tcW w:w="1765" w:type="dxa"/>
            <w:shd w:val="clear" w:color="auto" w:fill="auto"/>
            <w:vAlign w:val="center"/>
          </w:tcPr>
          <w:p>
            <w:pPr>
              <w:jc w:val="center"/>
              <w:rPr>
                <w:color w:val="000000"/>
                <w:szCs w:val="21"/>
              </w:rPr>
            </w:pPr>
            <w:r>
              <w:rPr>
                <w:rFonts w:hint="eastAsia"/>
                <w:color w:val="000000"/>
                <w:szCs w:val="21"/>
              </w:rPr>
              <w:t>天然气</w:t>
            </w:r>
          </w:p>
        </w:tc>
        <w:tc>
          <w:tcPr>
            <w:tcW w:w="1969" w:type="dxa"/>
            <w:shd w:val="clear" w:color="auto" w:fill="auto"/>
            <w:vAlign w:val="center"/>
          </w:tcPr>
          <w:p>
            <w:pPr>
              <w:jc w:val="center"/>
              <w:rPr>
                <w:color w:val="000000"/>
                <w:szCs w:val="21"/>
              </w:rPr>
            </w:pPr>
            <w:r>
              <w:rPr>
                <w:rFonts w:hint="eastAsia"/>
                <w:color w:val="000000"/>
                <w:szCs w:val="21"/>
              </w:rPr>
              <w:t>0.84</w:t>
            </w:r>
          </w:p>
        </w:tc>
        <w:tc>
          <w:tcPr>
            <w:tcW w:w="1969" w:type="dxa"/>
            <w:shd w:val="clear" w:color="auto" w:fill="auto"/>
            <w:vAlign w:val="center"/>
          </w:tcPr>
          <w:p>
            <w:pPr>
              <w:jc w:val="center"/>
              <w:rPr>
                <w:color w:val="000000"/>
                <w:szCs w:val="21"/>
              </w:rPr>
            </w:pPr>
            <w:r>
              <w:rPr>
                <w:rFonts w:hint="eastAsia"/>
                <w:color w:val="000000"/>
                <w:szCs w:val="21"/>
              </w:rPr>
              <w:t>k</w:t>
            </w:r>
            <w:r>
              <w:rPr>
                <w:color w:val="000000"/>
                <w:szCs w:val="21"/>
              </w:rPr>
              <w:t>g oil eq. / m</w:t>
            </w:r>
            <w:r>
              <w:rPr>
                <w:color w:val="000000"/>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129" w:type="dxa"/>
            <w:shd w:val="clear" w:color="auto" w:fill="auto"/>
            <w:vAlign w:val="center"/>
          </w:tcPr>
          <w:p>
            <w:pPr>
              <w:jc w:val="center"/>
              <w:rPr>
                <w:rFonts w:hint="default" w:eastAsia="宋体"/>
                <w:color w:val="000000"/>
                <w:szCs w:val="21"/>
                <w:lang w:val="en-US" w:eastAsia="zh-CN"/>
              </w:rPr>
            </w:pPr>
            <w:r>
              <w:rPr>
                <w:rFonts w:hint="eastAsia"/>
                <w:color w:val="000000"/>
                <w:szCs w:val="21"/>
                <w:lang w:val="en-US" w:eastAsia="zh-CN"/>
              </w:rPr>
              <w:t>水资源稀缺</w:t>
            </w:r>
          </w:p>
        </w:tc>
        <w:tc>
          <w:tcPr>
            <w:tcW w:w="1726" w:type="dxa"/>
            <w:shd w:val="clear" w:color="auto" w:fill="auto"/>
            <w:vAlign w:val="center"/>
          </w:tcPr>
          <w:p>
            <w:pPr>
              <w:jc w:val="center"/>
              <w:rPr>
                <w:rFonts w:hint="default" w:eastAsia="宋体"/>
                <w:color w:val="000000"/>
                <w:szCs w:val="21"/>
                <w:lang w:val="en-US" w:eastAsia="zh-CN"/>
              </w:rPr>
            </w:pPr>
            <w:r>
              <w:rPr>
                <w:rFonts w:hint="eastAsia"/>
                <w:color w:val="000000"/>
                <w:szCs w:val="21"/>
                <w:lang w:val="en-US" w:eastAsia="zh-CN"/>
              </w:rPr>
              <w:t>m</w:t>
            </w:r>
            <w:r>
              <w:rPr>
                <w:rFonts w:hint="eastAsia"/>
                <w:color w:val="000000"/>
                <w:szCs w:val="21"/>
                <w:vertAlign w:val="superscript"/>
                <w:lang w:val="en-US" w:eastAsia="zh-CN"/>
              </w:rPr>
              <w:t>3</w:t>
            </w:r>
          </w:p>
        </w:tc>
        <w:tc>
          <w:tcPr>
            <w:tcW w:w="1765" w:type="dxa"/>
            <w:shd w:val="clear" w:color="auto" w:fill="auto"/>
            <w:vAlign w:val="center"/>
          </w:tcPr>
          <w:p>
            <w:pPr>
              <w:jc w:val="center"/>
              <w:rPr>
                <w:rFonts w:hint="eastAsia" w:eastAsia="宋体"/>
                <w:color w:val="000000"/>
                <w:szCs w:val="21"/>
                <w:lang w:val="en-US" w:eastAsia="zh-CN"/>
              </w:rPr>
            </w:pPr>
            <w:r>
              <w:rPr>
                <w:rFonts w:hint="eastAsia"/>
                <w:color w:val="000000"/>
                <w:szCs w:val="21"/>
                <w:lang w:val="en-US" w:eastAsia="zh-CN"/>
              </w:rPr>
              <w:t>水</w:t>
            </w:r>
          </w:p>
        </w:tc>
        <w:tc>
          <w:tcPr>
            <w:tcW w:w="1969" w:type="dxa"/>
            <w:shd w:val="clear" w:color="auto" w:fill="auto"/>
            <w:vAlign w:val="center"/>
          </w:tcPr>
          <w:p>
            <w:pPr>
              <w:jc w:val="center"/>
              <w:rPr>
                <w:rFonts w:hint="eastAsia" w:eastAsia="宋体"/>
                <w:color w:val="000000"/>
                <w:szCs w:val="21"/>
                <w:lang w:val="en-US" w:eastAsia="zh-CN"/>
              </w:rPr>
            </w:pPr>
            <w:r>
              <w:rPr>
                <w:rFonts w:hint="eastAsia"/>
                <w:color w:val="000000"/>
                <w:szCs w:val="21"/>
                <w:lang w:val="en-US" w:eastAsia="zh-CN"/>
              </w:rPr>
              <w:t>1</w:t>
            </w:r>
          </w:p>
        </w:tc>
        <w:tc>
          <w:tcPr>
            <w:tcW w:w="1969" w:type="dxa"/>
            <w:shd w:val="clear" w:color="auto" w:fill="auto"/>
          </w:tcPr>
          <w:p>
            <w:pPr>
              <w:jc w:val="center"/>
              <w:rPr>
                <w:rFonts w:hint="default" w:eastAsia="宋体"/>
                <w:color w:val="000000"/>
                <w:szCs w:val="21"/>
                <w:lang w:val="en-US" w:eastAsia="zh-CN"/>
              </w:rPr>
            </w:pPr>
            <w:r>
              <w:rPr>
                <w:rFonts w:hint="eastAsia"/>
                <w:color w:val="000000"/>
                <w:szCs w:val="21"/>
                <w:lang w:val="en-US" w:eastAsia="zh-CN"/>
              </w:rPr>
              <w:t>m</w:t>
            </w:r>
            <w:r>
              <w:rPr>
                <w:rFonts w:hint="eastAsia"/>
                <w:color w:val="000000"/>
                <w:szCs w:val="21"/>
                <w:vertAlign w:val="superscript"/>
                <w:lang w:val="en-US" w:eastAsia="zh-CN"/>
              </w:rPr>
              <w:t>3</w:t>
            </w:r>
          </w:p>
        </w:tc>
      </w:tr>
      <w:bookmarkEnd w:id="49"/>
    </w:tbl>
    <w:p>
      <w:pPr>
        <w:spacing w:line="500" w:lineRule="exact"/>
        <w:ind w:firstLine="480" w:firstLineChars="200"/>
        <w:rPr>
          <w:kern w:val="0"/>
          <w:sz w:val="24"/>
        </w:rPr>
      </w:pPr>
      <w:r>
        <w:rPr>
          <w:rFonts w:hint="eastAsia"/>
          <w:kern w:val="0"/>
          <w:sz w:val="24"/>
        </w:rPr>
        <w:t>（4）计算方法</w:t>
      </w:r>
    </w:p>
    <w:p>
      <w:pPr>
        <w:spacing w:line="500" w:lineRule="exact"/>
        <w:ind w:firstLine="480" w:firstLineChars="200"/>
        <w:jc w:val="left"/>
        <w:rPr>
          <w:kern w:val="0"/>
          <w:sz w:val="24"/>
        </w:rPr>
      </w:pPr>
      <w:r>
        <w:rPr>
          <w:kern w:val="0"/>
          <w:sz w:val="24"/>
        </w:rPr>
        <w:t>影响评价结果计算方法</w:t>
      </w:r>
      <w:r>
        <w:rPr>
          <w:rFonts w:hint="eastAsia"/>
          <w:kern w:val="0"/>
          <w:sz w:val="24"/>
        </w:rPr>
        <w:t>如下所示</w:t>
      </w:r>
      <w:r>
        <w:rPr>
          <w:kern w:val="0"/>
          <w:sz w:val="24"/>
        </w:rPr>
        <w:t>。</w:t>
      </w:r>
    </w:p>
    <w:p>
      <w:pPr>
        <w:spacing w:line="500" w:lineRule="exact"/>
        <w:ind w:firstLine="420" w:firstLineChars="200"/>
        <w:jc w:val="right"/>
        <w:rPr>
          <w:kern w:val="0"/>
          <w:sz w:val="24"/>
        </w:rPr>
      </w:pPr>
      <m:oMath>
        <m:sSub>
          <m:sSubPr>
            <m:ctrlPr>
              <w:rPr>
                <w:rFonts w:ascii="Cambria Math" w:hAnsi="Cambria Math"/>
                <w:i/>
                <w:kern w:val="0"/>
                <w:szCs w:val="21"/>
              </w:rPr>
            </m:ctrlPr>
          </m:sSubPr>
          <m:e>
            <m:r>
              <m:rPr/>
              <w:rPr>
                <w:rFonts w:ascii="Cambria Math" w:hAnsi="Cambria Math"/>
                <w:szCs w:val="21"/>
              </w:rPr>
              <m:t>EP</m:t>
            </m:r>
            <m:ctrlPr>
              <w:rPr>
                <w:rFonts w:ascii="Cambria Math" w:hAnsi="Cambria Math"/>
                <w:i/>
                <w:kern w:val="0"/>
                <w:szCs w:val="21"/>
              </w:rPr>
            </m:ctrlPr>
          </m:e>
          <m:sub>
            <m:r>
              <m:rPr/>
              <w:rPr>
                <w:rFonts w:ascii="Cambria Math" w:hAnsi="Cambria Math"/>
                <w:szCs w:val="21"/>
              </w:rPr>
              <m:t>i</m:t>
            </m:r>
            <m:ctrlPr>
              <w:rPr>
                <w:rFonts w:ascii="Cambria Math" w:hAnsi="Cambria Math"/>
                <w:i/>
                <w:kern w:val="0"/>
                <w:szCs w:val="21"/>
              </w:rPr>
            </m:ctrlPr>
          </m:sub>
        </m:sSub>
        <m:r>
          <m:rPr/>
          <w:rPr>
            <w:rFonts w:ascii="Cambria Math" w:hAnsi="Cambria Math"/>
            <w:szCs w:val="21"/>
          </w:rPr>
          <m:t>=</m:t>
        </m:r>
        <m:nary>
          <m:naryPr>
            <m:chr m:val="∑"/>
            <m:limLoc m:val="undOvr"/>
            <m:subHide m:val="1"/>
            <m:supHide m:val="1"/>
            <m:ctrlPr>
              <w:rPr>
                <w:rFonts w:ascii="Cambria Math" w:hAnsi="Cambria Math"/>
                <w:i/>
                <w:kern w:val="0"/>
                <w:szCs w:val="21"/>
              </w:rPr>
            </m:ctrlPr>
          </m:naryPr>
          <m:sub>
            <m:ctrlPr>
              <w:rPr>
                <w:rFonts w:ascii="Cambria Math" w:hAnsi="Cambria Math"/>
                <w:i/>
                <w:kern w:val="0"/>
                <w:szCs w:val="21"/>
              </w:rPr>
            </m:ctrlPr>
          </m:sub>
          <m:sup>
            <m:ctrlPr>
              <w:rPr>
                <w:rFonts w:ascii="Cambria Math" w:hAnsi="Cambria Math"/>
                <w:i/>
                <w:kern w:val="0"/>
                <w:szCs w:val="21"/>
              </w:rPr>
            </m:ctrlPr>
          </m:sup>
          <m:e>
            <m:sSub>
              <m:sSubPr>
                <m:ctrlPr>
                  <w:rPr>
                    <w:rFonts w:ascii="Cambria Math" w:hAnsi="Cambria Math"/>
                    <w:i/>
                    <w:kern w:val="0"/>
                    <w:szCs w:val="21"/>
                  </w:rPr>
                </m:ctrlPr>
              </m:sSubPr>
              <m:e>
                <m:r>
                  <m:rPr/>
                  <w:rPr>
                    <w:rFonts w:ascii="Cambria Math" w:hAnsi="Cambria Math"/>
                    <w:szCs w:val="21"/>
                  </w:rPr>
                  <m:t>EP</m:t>
                </m:r>
                <m:ctrlPr>
                  <w:rPr>
                    <w:rFonts w:ascii="Cambria Math" w:hAnsi="Cambria Math"/>
                    <w:i/>
                    <w:kern w:val="0"/>
                    <w:szCs w:val="21"/>
                  </w:rPr>
                </m:ctrlPr>
              </m:e>
              <m:sub>
                <m:r>
                  <m:rPr/>
                  <w:rPr>
                    <w:rFonts w:ascii="Cambria Math" w:hAnsi="Cambria Math"/>
                    <w:szCs w:val="21"/>
                  </w:rPr>
                  <m:t>ij</m:t>
                </m:r>
                <m:ctrlPr>
                  <w:rPr>
                    <w:rFonts w:ascii="Cambria Math" w:hAnsi="Cambria Math"/>
                    <w:i/>
                    <w:kern w:val="0"/>
                    <w:szCs w:val="21"/>
                  </w:rPr>
                </m:ctrlPr>
              </m:sub>
            </m:sSub>
            <m:ctrlPr>
              <w:rPr>
                <w:rFonts w:ascii="Cambria Math" w:hAnsi="Cambria Math"/>
                <w:i/>
                <w:kern w:val="0"/>
                <w:szCs w:val="21"/>
              </w:rPr>
            </m:ctrlPr>
          </m:e>
        </m:nary>
        <m:r>
          <m:rPr/>
          <w:rPr>
            <w:rFonts w:ascii="Cambria Math" w:hAnsi="Cambria Math"/>
            <w:szCs w:val="21"/>
          </w:rPr>
          <m:t>=</m:t>
        </m:r>
        <m:nary>
          <m:naryPr>
            <m:chr m:val="∑"/>
            <m:limLoc m:val="undOvr"/>
            <m:subHide m:val="1"/>
            <m:supHide m:val="1"/>
            <m:ctrlPr>
              <w:rPr>
                <w:rFonts w:ascii="Cambria Math" w:hAnsi="Cambria Math"/>
                <w:i/>
                <w:kern w:val="0"/>
                <w:szCs w:val="21"/>
              </w:rPr>
            </m:ctrlPr>
          </m:naryPr>
          <m:sub>
            <m:ctrlPr>
              <w:rPr>
                <w:rFonts w:ascii="Cambria Math" w:hAnsi="Cambria Math"/>
                <w:i/>
                <w:kern w:val="0"/>
                <w:szCs w:val="21"/>
              </w:rPr>
            </m:ctrlPr>
          </m:sub>
          <m:sup>
            <m:ctrlPr>
              <w:rPr>
                <w:rFonts w:ascii="Cambria Math" w:hAnsi="Cambria Math"/>
                <w:i/>
                <w:kern w:val="0"/>
                <w:szCs w:val="21"/>
              </w:rPr>
            </m:ctrlPr>
          </m:sup>
          <m:e>
            <m:r>
              <m:rPr>
                <m:sty m:val="p"/>
              </m:rPr>
              <w:rPr>
                <w:rFonts w:ascii="Cambria Math" w:hAnsi="Cambria Math"/>
                <w:szCs w:val="21"/>
              </w:rPr>
              <m:t>（</m:t>
            </m:r>
            <m:sSub>
              <m:sSubPr>
                <m:ctrlPr>
                  <w:rPr>
                    <w:rFonts w:ascii="Cambria Math" w:hAnsi="Cambria Math"/>
                    <w:i/>
                    <w:kern w:val="0"/>
                    <w:szCs w:val="21"/>
                  </w:rPr>
                </m:ctrlPr>
              </m:sSubPr>
              <m:e>
                <m:r>
                  <m:rPr/>
                  <w:rPr>
                    <w:rFonts w:ascii="Cambria Math" w:hAnsi="Cambria Math"/>
                    <w:szCs w:val="21"/>
                  </w:rPr>
                  <m:t>Q</m:t>
                </m:r>
                <m:ctrlPr>
                  <w:rPr>
                    <w:rFonts w:ascii="Cambria Math" w:hAnsi="Cambria Math"/>
                    <w:i/>
                    <w:kern w:val="0"/>
                    <w:szCs w:val="21"/>
                  </w:rPr>
                </m:ctrlPr>
              </m:e>
              <m:sub>
                <m:r>
                  <m:rPr/>
                  <w:rPr>
                    <w:rFonts w:ascii="Cambria Math" w:hAnsi="Cambria Math"/>
                    <w:szCs w:val="21"/>
                  </w:rPr>
                  <m:t>j</m:t>
                </m:r>
                <m:ctrlPr>
                  <w:rPr>
                    <w:rFonts w:ascii="Cambria Math" w:hAnsi="Cambria Math"/>
                    <w:i/>
                    <w:kern w:val="0"/>
                    <w:szCs w:val="21"/>
                  </w:rPr>
                </m:ctrlPr>
              </m:sub>
            </m:sSub>
            <m:r>
              <m:rPr/>
              <w:rPr>
                <w:rFonts w:ascii="Cambria Math" w:hAnsi="Cambria Math"/>
                <w:szCs w:val="21"/>
              </w:rPr>
              <m:t>×</m:t>
            </m:r>
            <m:sSub>
              <m:sSubPr>
                <m:ctrlPr>
                  <w:rPr>
                    <w:rFonts w:ascii="Cambria Math" w:hAnsi="Cambria Math"/>
                    <w:i/>
                    <w:kern w:val="0"/>
                    <w:szCs w:val="21"/>
                  </w:rPr>
                </m:ctrlPr>
              </m:sSubPr>
              <m:e>
                <m:r>
                  <m:rPr/>
                  <w:rPr>
                    <w:rFonts w:ascii="Cambria Math" w:hAnsi="Cambria Math"/>
                    <w:szCs w:val="21"/>
                  </w:rPr>
                  <m:t>EF</m:t>
                </m:r>
                <m:ctrlPr>
                  <w:rPr>
                    <w:rFonts w:ascii="Cambria Math" w:hAnsi="Cambria Math"/>
                    <w:i/>
                    <w:kern w:val="0"/>
                    <w:szCs w:val="21"/>
                  </w:rPr>
                </m:ctrlPr>
              </m:e>
              <m:sub>
                <m:r>
                  <m:rPr/>
                  <w:rPr>
                    <w:rFonts w:ascii="Cambria Math" w:hAnsi="Cambria Math"/>
                    <w:szCs w:val="21"/>
                  </w:rPr>
                  <m:t>ij</m:t>
                </m:r>
                <m:ctrlPr>
                  <w:rPr>
                    <w:rFonts w:ascii="Cambria Math" w:hAnsi="Cambria Math"/>
                    <w:i/>
                    <w:kern w:val="0"/>
                    <w:szCs w:val="21"/>
                  </w:rPr>
                </m:ctrlPr>
              </m:sub>
            </m:sSub>
            <m:r>
              <m:rPr>
                <m:sty m:val="p"/>
              </m:rPr>
              <w:rPr>
                <w:rFonts w:ascii="Cambria Math" w:hAnsi="Cambria Math"/>
                <w:szCs w:val="21"/>
              </w:rPr>
              <m:t>）</m:t>
            </m:r>
            <m:ctrlPr>
              <w:rPr>
                <w:rFonts w:ascii="Cambria Math" w:hAnsi="Cambria Math"/>
                <w:i/>
                <w:kern w:val="0"/>
                <w:szCs w:val="21"/>
              </w:rPr>
            </m:ctrlPr>
          </m:e>
        </m:nary>
      </m:oMath>
      <w:r>
        <w:rPr>
          <w:kern w:val="0"/>
          <w:sz w:val="24"/>
        </w:rPr>
        <w:t>……………………….…………（B.1）</w:t>
      </w:r>
    </w:p>
    <w:p>
      <w:pPr>
        <w:spacing w:line="500" w:lineRule="exact"/>
        <w:ind w:firstLine="480" w:firstLineChars="200"/>
        <w:jc w:val="left"/>
        <w:rPr>
          <w:kern w:val="0"/>
          <w:sz w:val="24"/>
        </w:rPr>
      </w:pPr>
    </w:p>
    <w:p>
      <w:pPr>
        <w:spacing w:line="500" w:lineRule="exact"/>
        <w:jc w:val="left"/>
        <w:rPr>
          <w:kern w:val="0"/>
          <w:sz w:val="24"/>
        </w:rPr>
      </w:pPr>
      <w:r>
        <w:rPr>
          <w:kern w:val="0"/>
          <w:sz w:val="24"/>
        </w:rPr>
        <w:t>式中:</w:t>
      </w:r>
    </w:p>
    <w:p>
      <w:pPr>
        <w:spacing w:line="500" w:lineRule="exact"/>
        <w:ind w:firstLine="480" w:firstLineChars="200"/>
        <w:jc w:val="left"/>
        <w:rPr>
          <w:kern w:val="0"/>
          <w:sz w:val="24"/>
        </w:rPr>
      </w:pPr>
      <w:r>
        <w:rPr>
          <w:i/>
          <w:iCs/>
          <w:kern w:val="0"/>
          <w:sz w:val="24"/>
        </w:rPr>
        <w:t>EP</w:t>
      </w:r>
      <w:r>
        <w:rPr>
          <w:kern w:val="0"/>
          <w:sz w:val="24"/>
          <w:vertAlign w:val="subscript"/>
        </w:rPr>
        <w:t>i</w:t>
      </w:r>
      <w:r>
        <w:rPr>
          <w:kern w:val="0"/>
          <w:sz w:val="24"/>
        </w:rPr>
        <w:t>——第i种影响类型特征化值</w:t>
      </w:r>
      <w:r>
        <w:rPr>
          <w:rFonts w:hint="eastAsia"/>
          <w:kern w:val="0"/>
          <w:sz w:val="24"/>
        </w:rPr>
        <w:t>；</w:t>
      </w:r>
    </w:p>
    <w:p>
      <w:pPr>
        <w:spacing w:line="500" w:lineRule="exact"/>
        <w:ind w:firstLine="480" w:firstLineChars="200"/>
        <w:jc w:val="left"/>
        <w:rPr>
          <w:kern w:val="0"/>
          <w:sz w:val="24"/>
        </w:rPr>
      </w:pPr>
      <w:r>
        <w:rPr>
          <w:i/>
          <w:iCs/>
          <w:kern w:val="0"/>
          <w:sz w:val="24"/>
        </w:rPr>
        <w:t>EP</w:t>
      </w:r>
      <w:r>
        <w:rPr>
          <w:kern w:val="0"/>
          <w:sz w:val="24"/>
          <w:vertAlign w:val="subscript"/>
        </w:rPr>
        <w:t>ij</w:t>
      </w:r>
      <w:r>
        <w:rPr>
          <w:kern w:val="0"/>
          <w:sz w:val="24"/>
        </w:rPr>
        <w:t>——第i种影响类别中第j种清单指标参数的贡献</w:t>
      </w:r>
      <w:r>
        <w:rPr>
          <w:rFonts w:hint="eastAsia"/>
          <w:kern w:val="0"/>
          <w:sz w:val="24"/>
        </w:rPr>
        <w:t>；</w:t>
      </w:r>
    </w:p>
    <w:p>
      <w:pPr>
        <w:spacing w:line="500" w:lineRule="exact"/>
        <w:ind w:firstLine="480" w:firstLineChars="200"/>
        <w:jc w:val="left"/>
        <w:rPr>
          <w:kern w:val="0"/>
          <w:sz w:val="24"/>
        </w:rPr>
      </w:pPr>
      <w:r>
        <w:rPr>
          <w:i/>
          <w:iCs/>
          <w:kern w:val="0"/>
          <w:sz w:val="24"/>
        </w:rPr>
        <w:t>Q</w:t>
      </w:r>
      <w:r>
        <w:rPr>
          <w:kern w:val="0"/>
          <w:sz w:val="24"/>
          <w:vertAlign w:val="subscript"/>
        </w:rPr>
        <w:t>j</w:t>
      </w:r>
      <w:r>
        <w:rPr>
          <w:kern w:val="0"/>
          <w:sz w:val="24"/>
        </w:rPr>
        <w:t>——第j种清单指标参数</w:t>
      </w:r>
      <w:r>
        <w:rPr>
          <w:rFonts w:hint="eastAsia"/>
          <w:kern w:val="0"/>
          <w:sz w:val="24"/>
        </w:rPr>
        <w:t>；</w:t>
      </w:r>
    </w:p>
    <w:p>
      <w:pPr>
        <w:spacing w:line="500" w:lineRule="exact"/>
        <w:ind w:firstLine="480" w:firstLineChars="200"/>
        <w:rPr>
          <w:kern w:val="0"/>
          <w:sz w:val="24"/>
        </w:rPr>
      </w:pPr>
      <w:r>
        <w:rPr>
          <w:i/>
          <w:iCs/>
          <w:kern w:val="0"/>
          <w:sz w:val="24"/>
        </w:rPr>
        <w:t>EF</w:t>
      </w:r>
      <w:r>
        <w:rPr>
          <w:kern w:val="0"/>
          <w:sz w:val="24"/>
          <w:vertAlign w:val="subscript"/>
        </w:rPr>
        <w:t>ij</w:t>
      </w:r>
      <w:r>
        <w:rPr>
          <w:kern w:val="0"/>
          <w:sz w:val="24"/>
        </w:rPr>
        <w:t>——第i种影响类型中第j种清单指标参数的特征化指标参数。</w:t>
      </w:r>
    </w:p>
    <w:p>
      <w:pPr>
        <w:spacing w:line="500" w:lineRule="exact"/>
        <w:ind w:firstLine="480" w:firstLineChars="200"/>
        <w:rPr>
          <w:kern w:val="0"/>
          <w:sz w:val="24"/>
        </w:rPr>
      </w:pPr>
      <w:r>
        <w:rPr>
          <w:rFonts w:hint="eastAsia"/>
          <w:kern w:val="0"/>
          <w:sz w:val="24"/>
        </w:rPr>
        <w:t>但是该方法仅能计算表3-7和表3-8中提供特征化指标参数的指标参数造成的环境影响贡献，具有局限性和不完整性。建议在使用该标准进行生命周期评价报告时，可以根据现场数据和背景数据并借助于生命周期评价软件进行</w:t>
      </w:r>
      <w:r>
        <w:rPr>
          <w:rFonts w:hint="eastAsia"/>
          <w:kern w:val="0"/>
          <w:sz w:val="24"/>
          <w:lang w:eastAsia="zh-CN"/>
        </w:rPr>
        <w:t>镁碳砖</w:t>
      </w:r>
      <w:r>
        <w:rPr>
          <w:rFonts w:hint="eastAsia"/>
          <w:kern w:val="0"/>
          <w:sz w:val="24"/>
        </w:rPr>
        <w:t>产品生命周期评价。</w:t>
      </w:r>
    </w:p>
    <w:p>
      <w:pPr>
        <w:pStyle w:val="41"/>
        <w:spacing w:before="120" w:after="120" w:line="500" w:lineRule="exact"/>
        <w:rPr>
          <w:sz w:val="24"/>
          <w:szCs w:val="24"/>
        </w:rPr>
      </w:pPr>
      <w:r>
        <w:rPr>
          <w:rFonts w:hint="eastAsia" w:ascii="Times New Roman" w:hAnsi="Times New Roman" w:cs="Times New Roman"/>
          <w:sz w:val="24"/>
          <w:szCs w:val="24"/>
        </w:rPr>
        <w:t>3.2.</w:t>
      </w:r>
      <w:r>
        <w:rPr>
          <w:rFonts w:ascii="Times New Roman" w:hAnsi="Times New Roman" w:cs="Times New Roman"/>
          <w:sz w:val="24"/>
          <w:szCs w:val="24"/>
        </w:rPr>
        <w:t>8</w:t>
      </w:r>
      <w:r>
        <w:rPr>
          <w:rFonts w:hint="eastAsia" w:ascii="Times New Roman" w:hAnsi="Times New Roman" w:cs="Times New Roman"/>
          <w:sz w:val="24"/>
          <w:szCs w:val="24"/>
        </w:rPr>
        <w:t>.</w:t>
      </w:r>
      <w:r>
        <w:rPr>
          <w:rFonts w:ascii="Times New Roman" w:hAnsi="Times New Roman" w:cs="Times New Roman"/>
          <w:sz w:val="24"/>
          <w:szCs w:val="24"/>
        </w:rPr>
        <w:t>5</w:t>
      </w:r>
      <w:r>
        <w:rPr>
          <w:rFonts w:hint="eastAsia"/>
          <w:sz w:val="24"/>
          <w:szCs w:val="24"/>
        </w:rPr>
        <w:t>生命周期解释和报告</w:t>
      </w:r>
    </w:p>
    <w:p>
      <w:pPr>
        <w:spacing w:line="500" w:lineRule="exact"/>
        <w:ind w:firstLine="480" w:firstLineChars="200"/>
        <w:jc w:val="left"/>
        <w:rPr>
          <w:kern w:val="0"/>
          <w:sz w:val="24"/>
        </w:rPr>
      </w:pPr>
      <w:r>
        <w:rPr>
          <w:rFonts w:hint="eastAsia"/>
          <w:kern w:val="0"/>
          <w:sz w:val="24"/>
        </w:rPr>
        <w:t>本章为生命周期评价解释阶段，是生命周期评价中根据规定的目的和范围的要求对清单分析和（或）影响评价的结果进行归纳以形成结论和建议的阶段。包括产品生命周期模型的稳健性评价、特点问题识别与改进方案确定以及结论、建议和限制。</w:t>
      </w:r>
    </w:p>
    <w:p>
      <w:pPr>
        <w:spacing w:line="500" w:lineRule="exact"/>
        <w:ind w:firstLine="480" w:firstLineChars="200"/>
        <w:jc w:val="left"/>
        <w:rPr>
          <w:kern w:val="0"/>
          <w:sz w:val="24"/>
        </w:rPr>
      </w:pPr>
      <w:r>
        <w:rPr>
          <w:rFonts w:hint="eastAsia"/>
          <w:kern w:val="0"/>
          <w:sz w:val="24"/>
        </w:rPr>
        <w:t>产品生命周期模型的稳健性评价用于评价系统边界、数据来源、分配选择和生命周期影响类型等方法选择对结果的影响程度。宜用于评价</w:t>
      </w:r>
      <w:r>
        <w:rPr>
          <w:rFonts w:hint="eastAsia"/>
          <w:kern w:val="0"/>
          <w:sz w:val="24"/>
          <w:lang w:eastAsia="zh-CN"/>
        </w:rPr>
        <w:t>镁碳砖</w:t>
      </w:r>
      <w:r>
        <w:rPr>
          <w:rFonts w:hint="eastAsia"/>
          <w:kern w:val="0"/>
          <w:sz w:val="24"/>
        </w:rPr>
        <w:t>生命周期模型稳健性的工具包括、完整性检查、敏感性检查和一致性检查。</w:t>
      </w:r>
    </w:p>
    <w:p>
      <w:pPr>
        <w:spacing w:line="500" w:lineRule="exact"/>
        <w:ind w:firstLine="480" w:firstLineChars="200"/>
        <w:jc w:val="left"/>
        <w:rPr>
          <w:kern w:val="0"/>
          <w:sz w:val="24"/>
        </w:rPr>
      </w:pPr>
      <w:r>
        <w:rPr>
          <w:rFonts w:hint="eastAsia"/>
          <w:kern w:val="0"/>
          <w:sz w:val="24"/>
        </w:rPr>
        <w:t>特点问题识别与改进方案确定是为了产生环境效益或至少将环境责任降至最低，根据清单分析和影响评价阶段的信息提出一系列与产品相关的绿色设计改进方案。</w:t>
      </w:r>
    </w:p>
    <w:p>
      <w:pPr>
        <w:spacing w:line="500" w:lineRule="exact"/>
        <w:ind w:firstLine="480" w:firstLineChars="200"/>
        <w:jc w:val="left"/>
        <w:rPr>
          <w:kern w:val="0"/>
          <w:sz w:val="24"/>
        </w:rPr>
      </w:pPr>
      <w:r>
        <w:rPr>
          <w:rFonts w:hint="eastAsia"/>
          <w:kern w:val="0"/>
          <w:sz w:val="24"/>
        </w:rPr>
        <w:t>结论、建议和限制则是根据确定的产品生命周期评价的目的和范围阐述结论、建议和限制。结论宜包括评价结果、热点问题摘要和方案。</w:t>
      </w:r>
    </w:p>
    <w:p>
      <w:pPr>
        <w:pStyle w:val="40"/>
        <w:spacing w:line="500" w:lineRule="exact"/>
        <w:rPr>
          <w:rFonts w:cs="Times New Roman"/>
          <w:sz w:val="24"/>
          <w:szCs w:val="24"/>
        </w:rPr>
      </w:pPr>
      <w:bookmarkStart w:id="50" w:name="_Toc46485323"/>
      <w:bookmarkStart w:id="51" w:name="_Toc66714171"/>
      <w:r>
        <w:rPr>
          <w:rFonts w:hint="eastAsia" w:cs="Times New Roman"/>
          <w:sz w:val="24"/>
          <w:szCs w:val="24"/>
        </w:rPr>
        <w:t>3.2.</w:t>
      </w:r>
      <w:r>
        <w:rPr>
          <w:rFonts w:cs="Times New Roman"/>
          <w:sz w:val="24"/>
          <w:szCs w:val="24"/>
        </w:rPr>
        <w:t xml:space="preserve">9 </w:t>
      </w:r>
      <w:r>
        <w:rPr>
          <w:rFonts w:hint="eastAsia" w:cs="Times New Roman"/>
          <w:sz w:val="24"/>
          <w:szCs w:val="24"/>
        </w:rPr>
        <w:t>附录</w:t>
      </w:r>
      <w:r>
        <w:rPr>
          <w:rFonts w:cs="Times New Roman"/>
          <w:sz w:val="24"/>
          <w:szCs w:val="24"/>
        </w:rPr>
        <w:t>C</w:t>
      </w:r>
      <w:bookmarkEnd w:id="50"/>
      <w:bookmarkEnd w:id="51"/>
    </w:p>
    <w:p>
      <w:pPr>
        <w:spacing w:line="500" w:lineRule="exact"/>
        <w:ind w:firstLine="480" w:firstLineChars="200"/>
        <w:rPr>
          <w:sz w:val="24"/>
        </w:rPr>
      </w:pPr>
      <w:r>
        <w:rPr>
          <w:rFonts w:hint="eastAsia"/>
          <w:sz w:val="24"/>
        </w:rPr>
        <w:t>附录</w:t>
      </w:r>
      <w:r>
        <w:rPr>
          <w:sz w:val="24"/>
        </w:rPr>
        <w:t>C</w:t>
      </w:r>
      <w:r>
        <w:rPr>
          <w:rFonts w:hint="eastAsia"/>
          <w:sz w:val="24"/>
        </w:rPr>
        <w:t>为资料性附录，是现场数据收集信息，包括</w:t>
      </w:r>
      <w:r>
        <w:rPr>
          <w:sz w:val="24"/>
        </w:rPr>
        <w:t>现场数据采集质量要求</w:t>
      </w:r>
      <w:r>
        <w:rPr>
          <w:rFonts w:hint="eastAsia"/>
          <w:sz w:val="24"/>
        </w:rPr>
        <w:t>以及格式。现场数据采集表见表3-9。</w:t>
      </w:r>
    </w:p>
    <w:p>
      <w:pPr>
        <w:spacing w:line="500" w:lineRule="exact"/>
        <w:ind w:firstLine="480" w:firstLineChars="200"/>
        <w:jc w:val="center"/>
        <w:rPr>
          <w:sz w:val="24"/>
        </w:rPr>
      </w:pPr>
      <w:r>
        <w:rPr>
          <w:rFonts w:hint="eastAsia"/>
          <w:sz w:val="24"/>
        </w:rPr>
        <w:t>表3-9现场数据采集表</w:t>
      </w:r>
    </w:p>
    <w:tbl>
      <w:tblPr>
        <w:tblStyle w:val="24"/>
        <w:tblW w:w="471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920"/>
        <w:gridCol w:w="1251"/>
        <w:gridCol w:w="780"/>
        <w:gridCol w:w="652"/>
        <w:gridCol w:w="946"/>
        <w:gridCol w:w="903"/>
        <w:gridCol w:w="1224"/>
        <w:gridCol w:w="20"/>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63" w:type="pct"/>
            <w:vMerge w:val="restar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bookmarkStart w:id="52" w:name="_Hlk65761387"/>
            <w:r>
              <w:rPr>
                <w:color w:val="auto"/>
                <w:sz w:val="18"/>
                <w:szCs w:val="18"/>
                <w:highlight w:val="none"/>
              </w:rPr>
              <w:t>基本信息</w:t>
            </w:r>
          </w:p>
        </w:tc>
        <w:tc>
          <w:tcPr>
            <w:tcW w:w="127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企业名称</w:t>
            </w:r>
          </w:p>
        </w:tc>
        <w:tc>
          <w:tcPr>
            <w:tcW w:w="3263" w:type="pct"/>
            <w:gridSpan w:val="7"/>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127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企业所属省份</w:t>
            </w:r>
          </w:p>
        </w:tc>
        <w:tc>
          <w:tcPr>
            <w:tcW w:w="3263" w:type="pct"/>
            <w:gridSpan w:val="7"/>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127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企业地址</w:t>
            </w:r>
          </w:p>
        </w:tc>
        <w:tc>
          <w:tcPr>
            <w:tcW w:w="3263" w:type="pct"/>
            <w:gridSpan w:val="7"/>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127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联系人及联系方式</w:t>
            </w:r>
          </w:p>
        </w:tc>
        <w:tc>
          <w:tcPr>
            <w:tcW w:w="3263" w:type="pct"/>
            <w:gridSpan w:val="7"/>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127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生产线数量/设计产能</w:t>
            </w:r>
          </w:p>
        </w:tc>
        <w:tc>
          <w:tcPr>
            <w:tcW w:w="3263" w:type="pct"/>
            <w:gridSpan w:val="7"/>
            <w:tcBorders>
              <w:top w:val="single" w:color="auto" w:sz="4" w:space="0"/>
              <w:left w:val="single" w:color="auto" w:sz="4" w:space="0"/>
              <w:bottom w:val="single" w:color="auto" w:sz="4" w:space="0"/>
              <w:right w:val="single" w:color="auto" w:sz="4" w:space="0"/>
            </w:tcBorders>
            <w:noWrap w:val="0"/>
            <w:vAlign w:val="center"/>
          </w:tcPr>
          <w:p>
            <w:pPr>
              <w:rPr>
                <w:color w:val="auto"/>
                <w:sz w:val="18"/>
                <w:szCs w:val="18"/>
                <w:highlight w:val="none"/>
              </w:rPr>
            </w:pPr>
            <w:r>
              <w:rPr>
                <w:color w:val="auto"/>
                <w:sz w:val="18"/>
                <w:szCs w:val="18"/>
                <w:highlight w:val="none"/>
              </w:rPr>
              <w:t>共_____条，设计产能：_____ / _____/ _____（分线填写）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127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数据统计周期</w:t>
            </w:r>
          </w:p>
        </w:tc>
        <w:tc>
          <w:tcPr>
            <w:tcW w:w="3263" w:type="pct"/>
            <w:gridSpan w:val="7"/>
            <w:tcBorders>
              <w:top w:val="single" w:color="auto" w:sz="4" w:space="0"/>
              <w:left w:val="single" w:color="auto" w:sz="4" w:space="0"/>
              <w:bottom w:val="single" w:color="auto" w:sz="4" w:space="0"/>
              <w:right w:val="single" w:color="auto" w:sz="4" w:space="0"/>
            </w:tcBorders>
            <w:noWrap w:val="0"/>
            <w:vAlign w:val="center"/>
          </w:tcPr>
          <w:p>
            <w:pP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63"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产品信息</w:t>
            </w:r>
          </w:p>
        </w:tc>
        <w:tc>
          <w:tcPr>
            <w:tcW w:w="127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产品种类</w:t>
            </w:r>
            <w:r>
              <w:rPr>
                <w:rFonts w:hint="eastAsia"/>
                <w:color w:val="auto"/>
                <w:sz w:val="18"/>
                <w:szCs w:val="18"/>
                <w:highlight w:val="none"/>
                <w:vertAlign w:val="superscript"/>
              </w:rPr>
              <w:t>a</w:t>
            </w:r>
            <w:r>
              <w:rPr>
                <w:color w:val="auto"/>
                <w:sz w:val="18"/>
                <w:szCs w:val="18"/>
                <w:highlight w:val="none"/>
              </w:rPr>
              <w:t>/实际产量</w:t>
            </w:r>
          </w:p>
        </w:tc>
        <w:tc>
          <w:tcPr>
            <w:tcW w:w="3263" w:type="pct"/>
            <w:gridSpan w:val="7"/>
            <w:tcBorders>
              <w:top w:val="single" w:color="auto" w:sz="4" w:space="0"/>
              <w:left w:val="single" w:color="auto" w:sz="4" w:space="0"/>
              <w:bottom w:val="single" w:color="auto" w:sz="4" w:space="0"/>
              <w:right w:val="single" w:color="auto" w:sz="4" w:space="0"/>
            </w:tcBorders>
            <w:noWrap w:val="0"/>
            <w:vAlign w:val="center"/>
          </w:tcPr>
          <w:p>
            <w:pPr>
              <w:rPr>
                <w:color w:val="auto"/>
                <w:sz w:val="18"/>
                <w:szCs w:val="18"/>
                <w:highlight w:val="none"/>
              </w:rPr>
            </w:pPr>
            <w:r>
              <w:rPr>
                <w:color w:val="auto"/>
                <w:sz w:val="18"/>
                <w:szCs w:val="18"/>
                <w:highlight w:val="none"/>
              </w:rPr>
              <w:t>种类1：</w:t>
            </w:r>
            <w:r>
              <w:rPr>
                <w:color w:val="auto"/>
                <w:sz w:val="18"/>
                <w:szCs w:val="18"/>
                <w:highlight w:val="none"/>
                <w:u w:val="single"/>
              </w:rPr>
              <w:t xml:space="preserve">               </w:t>
            </w:r>
            <w:r>
              <w:rPr>
                <w:color w:val="auto"/>
                <w:sz w:val="18"/>
                <w:szCs w:val="18"/>
                <w:highlight w:val="none"/>
              </w:rPr>
              <w:t>：产量</w:t>
            </w:r>
            <w:r>
              <w:rPr>
                <w:color w:val="auto"/>
                <w:sz w:val="18"/>
                <w:szCs w:val="18"/>
                <w:highlight w:val="none"/>
                <w:u w:val="single"/>
              </w:rPr>
              <w:t xml:space="preserve">              </w:t>
            </w:r>
            <w:r>
              <w:rPr>
                <w:color w:val="auto"/>
                <w:sz w:val="18"/>
                <w:szCs w:val="18"/>
                <w:highlight w:val="none"/>
              </w:rPr>
              <w:t>吨。</w:t>
            </w:r>
          </w:p>
          <w:p>
            <w:pPr>
              <w:rPr>
                <w:color w:val="auto"/>
                <w:sz w:val="18"/>
                <w:szCs w:val="18"/>
                <w:highlight w:val="none"/>
              </w:rPr>
            </w:pPr>
            <w:r>
              <w:rPr>
                <w:color w:val="auto"/>
                <w:sz w:val="18"/>
                <w:szCs w:val="18"/>
                <w:highlight w:val="none"/>
              </w:rPr>
              <w:t>种类2：</w:t>
            </w:r>
            <w:r>
              <w:rPr>
                <w:color w:val="auto"/>
                <w:sz w:val="18"/>
                <w:szCs w:val="18"/>
                <w:highlight w:val="none"/>
                <w:u w:val="single"/>
              </w:rPr>
              <w:t xml:space="preserve">               </w:t>
            </w:r>
            <w:r>
              <w:rPr>
                <w:color w:val="auto"/>
                <w:sz w:val="18"/>
                <w:szCs w:val="18"/>
                <w:highlight w:val="none"/>
              </w:rPr>
              <w:t>：产量</w:t>
            </w:r>
            <w:r>
              <w:rPr>
                <w:color w:val="auto"/>
                <w:sz w:val="18"/>
                <w:szCs w:val="18"/>
                <w:highlight w:val="none"/>
                <w:u w:val="single"/>
              </w:rPr>
              <w:t xml:space="preserve">              </w:t>
            </w:r>
            <w:r>
              <w:rPr>
                <w:color w:val="auto"/>
                <w:sz w:val="18"/>
                <w:szCs w:val="18"/>
                <w:highlight w:val="none"/>
              </w:rPr>
              <w:t>吨。</w:t>
            </w:r>
          </w:p>
          <w:p>
            <w:pPr>
              <w:rPr>
                <w:rFonts w:hint="eastAsia"/>
                <w:color w:val="auto"/>
                <w:sz w:val="18"/>
                <w:szCs w:val="18"/>
                <w:highlight w:val="none"/>
              </w:rPr>
            </w:pPr>
            <w:r>
              <w:rPr>
                <w:color w:val="auto"/>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63" w:type="pct"/>
            <w:vMerge w:val="restar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资源</w:t>
            </w:r>
          </w:p>
          <w:p>
            <w:pPr>
              <w:jc w:val="center"/>
              <w:rPr>
                <w:color w:val="auto"/>
                <w:sz w:val="18"/>
                <w:szCs w:val="18"/>
                <w:highlight w:val="none"/>
              </w:rPr>
            </w:pPr>
            <w:r>
              <w:rPr>
                <w:color w:val="auto"/>
                <w:sz w:val="18"/>
                <w:szCs w:val="18"/>
                <w:highlight w:val="none"/>
              </w:rPr>
              <w:t>消耗</w:t>
            </w:r>
          </w:p>
        </w:tc>
        <w:tc>
          <w:tcPr>
            <w:tcW w:w="127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种类</w:t>
            </w:r>
          </w:p>
        </w:tc>
        <w:tc>
          <w:tcPr>
            <w:tcW w:w="45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消耗量</w:t>
            </w:r>
          </w:p>
        </w:tc>
        <w:tc>
          <w:tcPr>
            <w:tcW w:w="382"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单位</w:t>
            </w:r>
          </w:p>
        </w:tc>
        <w:tc>
          <w:tcPr>
            <w:tcW w:w="554"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产地</w:t>
            </w:r>
          </w:p>
        </w:tc>
        <w:tc>
          <w:tcPr>
            <w:tcW w:w="529"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取得方式</w:t>
            </w:r>
          </w:p>
          <w:p>
            <w:pPr>
              <w:snapToGrid w:val="0"/>
              <w:jc w:val="center"/>
              <w:rPr>
                <w:color w:val="auto"/>
                <w:sz w:val="18"/>
                <w:szCs w:val="18"/>
                <w:highlight w:val="none"/>
              </w:rPr>
            </w:pPr>
            <w:r>
              <w:rPr>
                <w:color w:val="auto"/>
                <w:sz w:val="18"/>
                <w:szCs w:val="18"/>
                <w:highlight w:val="none"/>
              </w:rPr>
              <w:t>填写自产或外购</w:t>
            </w:r>
          </w:p>
        </w:tc>
        <w:tc>
          <w:tcPr>
            <w:tcW w:w="71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运输方式</w:t>
            </w:r>
          </w:p>
          <w:p>
            <w:pPr>
              <w:snapToGrid w:val="0"/>
              <w:jc w:val="center"/>
              <w:rPr>
                <w:color w:val="auto"/>
                <w:sz w:val="18"/>
                <w:szCs w:val="18"/>
                <w:highlight w:val="none"/>
              </w:rPr>
            </w:pPr>
            <w:r>
              <w:rPr>
                <w:color w:val="auto"/>
                <w:sz w:val="18"/>
                <w:szCs w:val="18"/>
                <w:highlight w:val="none"/>
              </w:rPr>
              <w:t>汽运、火车或船运</w:t>
            </w:r>
          </w:p>
        </w:tc>
        <w:tc>
          <w:tcPr>
            <w:tcW w:w="623"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运输距离（km）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127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olor w:val="auto"/>
                <w:sz w:val="18"/>
                <w:szCs w:val="18"/>
                <w:highlight w:val="none"/>
              </w:rPr>
            </w:pPr>
            <w:r>
              <w:rPr>
                <w:rFonts w:hint="eastAsia"/>
                <w:color w:val="auto"/>
                <w:sz w:val="18"/>
                <w:szCs w:val="18"/>
                <w:highlight w:val="none"/>
              </w:rPr>
              <w:t>镁砂</w:t>
            </w:r>
          </w:p>
        </w:tc>
        <w:tc>
          <w:tcPr>
            <w:tcW w:w="45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382"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t</w:t>
            </w:r>
          </w:p>
        </w:tc>
        <w:tc>
          <w:tcPr>
            <w:tcW w:w="554"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529"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71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623"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127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olor w:val="auto"/>
                <w:sz w:val="18"/>
                <w:szCs w:val="18"/>
                <w:highlight w:val="none"/>
              </w:rPr>
            </w:pPr>
            <w:r>
              <w:rPr>
                <w:rFonts w:hint="eastAsia"/>
                <w:color w:val="auto"/>
                <w:sz w:val="18"/>
                <w:szCs w:val="18"/>
                <w:highlight w:val="none"/>
              </w:rPr>
              <w:t>石墨</w:t>
            </w:r>
          </w:p>
        </w:tc>
        <w:tc>
          <w:tcPr>
            <w:tcW w:w="45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382"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554"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529"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71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623"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127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olor w:val="auto"/>
                <w:sz w:val="18"/>
                <w:szCs w:val="18"/>
                <w:highlight w:val="none"/>
              </w:rPr>
            </w:pPr>
            <w:r>
              <w:rPr>
                <w:rFonts w:hint="eastAsia"/>
                <w:color w:val="auto"/>
                <w:sz w:val="18"/>
                <w:szCs w:val="18"/>
                <w:highlight w:val="none"/>
              </w:rPr>
              <w:t>抗氧化剂</w:t>
            </w:r>
          </w:p>
        </w:tc>
        <w:tc>
          <w:tcPr>
            <w:tcW w:w="45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382"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t</w:t>
            </w:r>
          </w:p>
        </w:tc>
        <w:tc>
          <w:tcPr>
            <w:tcW w:w="554"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529"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71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623"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127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olor w:val="auto"/>
                <w:sz w:val="18"/>
                <w:szCs w:val="18"/>
                <w:highlight w:val="none"/>
              </w:rPr>
            </w:pPr>
            <w:r>
              <w:rPr>
                <w:rFonts w:hint="eastAsia"/>
                <w:color w:val="auto"/>
                <w:sz w:val="18"/>
                <w:szCs w:val="18"/>
                <w:highlight w:val="none"/>
                <w:lang w:val="en-US" w:eastAsia="zh-CN"/>
              </w:rPr>
              <w:t>...</w:t>
            </w:r>
          </w:p>
        </w:tc>
        <w:tc>
          <w:tcPr>
            <w:tcW w:w="45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382"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554"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529"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71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623"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127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color w:val="auto"/>
                <w:sz w:val="18"/>
                <w:szCs w:val="18"/>
                <w:highlight w:val="none"/>
              </w:rPr>
            </w:pPr>
            <w:r>
              <w:rPr>
                <w:rFonts w:hint="eastAsia"/>
                <w:color w:val="auto"/>
                <w:sz w:val="18"/>
                <w:szCs w:val="18"/>
                <w:highlight w:val="none"/>
                <w:lang w:val="en-US" w:eastAsia="zh-CN"/>
              </w:rPr>
              <w:t>...</w:t>
            </w:r>
          </w:p>
        </w:tc>
        <w:tc>
          <w:tcPr>
            <w:tcW w:w="45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382"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554"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529"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71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623"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127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水</w:t>
            </w:r>
          </w:p>
        </w:tc>
        <w:tc>
          <w:tcPr>
            <w:tcW w:w="45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382"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m</w:t>
            </w:r>
            <w:r>
              <w:rPr>
                <w:color w:val="auto"/>
                <w:sz w:val="18"/>
                <w:szCs w:val="18"/>
                <w:highlight w:val="none"/>
                <w:vertAlign w:val="superscript"/>
              </w:rPr>
              <w:t>3</w:t>
            </w:r>
          </w:p>
        </w:tc>
        <w:tc>
          <w:tcPr>
            <w:tcW w:w="554"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870" w:type="pct"/>
            <w:gridSpan w:val="4"/>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说明来源（自来水、河水等）：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1272" w:type="pct"/>
            <w:gridSpan w:val="2"/>
            <w:tcBorders>
              <w:top w:val="single" w:color="auto" w:sz="4" w:space="0"/>
              <w:left w:val="single" w:color="auto" w:sz="4" w:space="0"/>
              <w:bottom w:val="single" w:color="auto" w:sz="4" w:space="0"/>
              <w:right w:val="single" w:color="auto" w:sz="4" w:space="0"/>
            </w:tcBorders>
            <w:noWrap w:val="0"/>
            <w:vAlign w:val="center"/>
          </w:tcPr>
          <w:p>
            <w:pPr>
              <w:rPr>
                <w:color w:val="auto"/>
                <w:sz w:val="18"/>
                <w:szCs w:val="18"/>
                <w:highlight w:val="none"/>
              </w:rPr>
            </w:pPr>
            <w:r>
              <w:rPr>
                <w:color w:val="auto"/>
                <w:sz w:val="18"/>
                <w:szCs w:val="18"/>
                <w:highlight w:val="none"/>
              </w:rPr>
              <w:t>其他：</w:t>
            </w:r>
            <w:r>
              <w:rPr>
                <w:color w:val="auto"/>
                <w:sz w:val="18"/>
                <w:szCs w:val="18"/>
                <w:highlight w:val="none"/>
                <w:u w:val="single"/>
              </w:rPr>
              <w:t xml:space="preserve">        </w:t>
            </w:r>
          </w:p>
        </w:tc>
        <w:tc>
          <w:tcPr>
            <w:tcW w:w="45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382"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554"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870" w:type="pct"/>
            <w:gridSpan w:val="4"/>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63" w:type="pct"/>
            <w:vMerge w:val="restar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能源</w:t>
            </w:r>
          </w:p>
          <w:p>
            <w:pPr>
              <w:jc w:val="center"/>
              <w:rPr>
                <w:color w:val="auto"/>
                <w:sz w:val="18"/>
                <w:szCs w:val="18"/>
                <w:highlight w:val="none"/>
              </w:rPr>
            </w:pPr>
            <w:r>
              <w:rPr>
                <w:color w:val="auto"/>
                <w:sz w:val="18"/>
                <w:szCs w:val="18"/>
                <w:highlight w:val="none"/>
              </w:rPr>
              <w:t>消耗</w:t>
            </w:r>
          </w:p>
        </w:tc>
        <w:tc>
          <w:tcPr>
            <w:tcW w:w="127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种类</w:t>
            </w:r>
          </w:p>
        </w:tc>
        <w:tc>
          <w:tcPr>
            <w:tcW w:w="45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消耗量</w:t>
            </w:r>
          </w:p>
        </w:tc>
        <w:tc>
          <w:tcPr>
            <w:tcW w:w="382"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单位</w:t>
            </w:r>
          </w:p>
        </w:tc>
        <w:tc>
          <w:tcPr>
            <w:tcW w:w="554"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5"/>
                <w:szCs w:val="18"/>
                <w:highlight w:val="none"/>
              </w:rPr>
            </w:pPr>
            <w:r>
              <w:rPr>
                <w:rFonts w:hint="eastAsia"/>
                <w:color w:val="auto"/>
                <w:sz w:val="15"/>
                <w:szCs w:val="18"/>
                <w:highlight w:val="none"/>
              </w:rPr>
              <w:t>当量值（tce）</w:t>
            </w:r>
          </w:p>
        </w:tc>
        <w:tc>
          <w:tcPr>
            <w:tcW w:w="1258" w:type="pct"/>
            <w:gridSpan w:val="3"/>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5"/>
                <w:szCs w:val="18"/>
                <w:highlight w:val="none"/>
              </w:rPr>
            </w:pPr>
            <w:r>
              <w:rPr>
                <w:color w:val="auto"/>
                <w:sz w:val="18"/>
                <w:szCs w:val="18"/>
                <w:highlight w:val="none"/>
              </w:rPr>
              <w:t>低位发热量数据来源（如：企业自测或供方提供）</w:t>
            </w:r>
          </w:p>
        </w:tc>
        <w:tc>
          <w:tcPr>
            <w:tcW w:w="611"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详细情况说明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127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天然气</w:t>
            </w:r>
          </w:p>
        </w:tc>
        <w:tc>
          <w:tcPr>
            <w:tcW w:w="45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382"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Nm</w:t>
            </w:r>
            <w:r>
              <w:rPr>
                <w:color w:val="auto"/>
                <w:sz w:val="18"/>
                <w:szCs w:val="18"/>
                <w:highlight w:val="none"/>
                <w:vertAlign w:val="superscript"/>
              </w:rPr>
              <w:t>3</w:t>
            </w:r>
          </w:p>
        </w:tc>
        <w:tc>
          <w:tcPr>
            <w:tcW w:w="554"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258" w:type="pct"/>
            <w:gridSpan w:val="3"/>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611" w:type="pct"/>
            <w:tcBorders>
              <w:top w:val="single" w:color="auto" w:sz="4" w:space="0"/>
              <w:left w:val="single" w:color="auto" w:sz="4" w:space="0"/>
              <w:bottom w:val="single" w:color="auto" w:sz="4" w:space="0"/>
              <w:right w:val="single" w:color="auto" w:sz="4" w:space="0"/>
            </w:tcBorders>
            <w:noWrap w:val="0"/>
            <w:vAlign w:val="center"/>
          </w:tcPr>
          <w:p>
            <w:pPr>
              <w:rPr>
                <w:color w:val="auto"/>
                <w:sz w:val="18"/>
                <w:szCs w:val="18"/>
                <w:highlight w:val="none"/>
              </w:rPr>
            </w:pPr>
            <w:r>
              <w:rPr>
                <w:color w:val="auto"/>
                <w:sz w:val="18"/>
                <w:szCs w:val="18"/>
                <w:highlight w:val="none"/>
              </w:rPr>
              <w:t>低位发热量：</w:t>
            </w:r>
            <w:r>
              <w:rPr>
                <w:color w:val="auto"/>
                <w:sz w:val="18"/>
                <w:szCs w:val="18"/>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127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煤</w:t>
            </w:r>
          </w:p>
        </w:tc>
        <w:tc>
          <w:tcPr>
            <w:tcW w:w="45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382"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t</w:t>
            </w:r>
          </w:p>
        </w:tc>
        <w:tc>
          <w:tcPr>
            <w:tcW w:w="554"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258" w:type="pct"/>
            <w:gridSpan w:val="3"/>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611" w:type="pct"/>
            <w:tcBorders>
              <w:top w:val="single" w:color="auto" w:sz="4" w:space="0"/>
              <w:left w:val="single" w:color="auto" w:sz="4" w:space="0"/>
              <w:bottom w:val="single" w:color="auto" w:sz="4" w:space="0"/>
              <w:right w:val="single" w:color="auto" w:sz="4" w:space="0"/>
            </w:tcBorders>
            <w:noWrap w:val="0"/>
            <w:vAlign w:val="center"/>
          </w:tcPr>
          <w:p>
            <w:pPr>
              <w:rPr>
                <w:color w:val="auto"/>
                <w:sz w:val="18"/>
                <w:szCs w:val="18"/>
                <w:highlight w:val="none"/>
                <w:u w:val="single"/>
              </w:rPr>
            </w:pPr>
            <w:r>
              <w:rPr>
                <w:color w:val="auto"/>
                <w:sz w:val="18"/>
                <w:szCs w:val="18"/>
                <w:highlight w:val="none"/>
              </w:rPr>
              <w:t>低位发热量：</w:t>
            </w:r>
            <w:r>
              <w:rPr>
                <w:color w:val="auto"/>
                <w:sz w:val="18"/>
                <w:szCs w:val="18"/>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127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柴油</w:t>
            </w:r>
          </w:p>
        </w:tc>
        <w:tc>
          <w:tcPr>
            <w:tcW w:w="45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382"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t</w:t>
            </w:r>
          </w:p>
        </w:tc>
        <w:tc>
          <w:tcPr>
            <w:tcW w:w="554"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258" w:type="pct"/>
            <w:gridSpan w:val="3"/>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611" w:type="pct"/>
            <w:tcBorders>
              <w:top w:val="single" w:color="auto" w:sz="4" w:space="0"/>
              <w:left w:val="single" w:color="auto" w:sz="4" w:space="0"/>
              <w:bottom w:val="single" w:color="auto" w:sz="4" w:space="0"/>
              <w:right w:val="single" w:color="auto" w:sz="4" w:space="0"/>
            </w:tcBorders>
            <w:noWrap w:val="0"/>
            <w:vAlign w:val="center"/>
          </w:tcPr>
          <w:p>
            <w:pPr>
              <w:rPr>
                <w:color w:val="auto"/>
                <w:highlight w:val="none"/>
              </w:rPr>
            </w:pPr>
            <w:r>
              <w:rPr>
                <w:color w:val="auto"/>
                <w:sz w:val="18"/>
                <w:szCs w:val="18"/>
                <w:highlight w:val="none"/>
              </w:rPr>
              <w:t>低位发热量：</w:t>
            </w:r>
            <w:r>
              <w:rPr>
                <w:color w:val="auto"/>
                <w:sz w:val="18"/>
                <w:szCs w:val="18"/>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127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汽油</w:t>
            </w:r>
          </w:p>
        </w:tc>
        <w:tc>
          <w:tcPr>
            <w:tcW w:w="45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382"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t</w:t>
            </w:r>
          </w:p>
        </w:tc>
        <w:tc>
          <w:tcPr>
            <w:tcW w:w="554"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258" w:type="pct"/>
            <w:gridSpan w:val="3"/>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611" w:type="pct"/>
            <w:tcBorders>
              <w:top w:val="single" w:color="auto" w:sz="4" w:space="0"/>
              <w:left w:val="single" w:color="auto" w:sz="4" w:space="0"/>
              <w:bottom w:val="single" w:color="auto" w:sz="4" w:space="0"/>
              <w:right w:val="single" w:color="auto" w:sz="4" w:space="0"/>
            </w:tcBorders>
            <w:noWrap w:val="0"/>
            <w:vAlign w:val="center"/>
          </w:tcPr>
          <w:p>
            <w:pPr>
              <w:rPr>
                <w:color w:val="auto"/>
                <w:highlight w:val="none"/>
              </w:rPr>
            </w:pPr>
            <w:r>
              <w:rPr>
                <w:color w:val="auto"/>
                <w:sz w:val="18"/>
                <w:szCs w:val="18"/>
                <w:highlight w:val="none"/>
              </w:rPr>
              <w:t>低位发热量：</w:t>
            </w:r>
            <w:r>
              <w:rPr>
                <w:color w:val="auto"/>
                <w:sz w:val="18"/>
                <w:szCs w:val="18"/>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127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u w:val="single"/>
              </w:rPr>
            </w:pPr>
            <w:r>
              <w:rPr>
                <w:color w:val="auto"/>
                <w:sz w:val="18"/>
                <w:szCs w:val="18"/>
                <w:highlight w:val="none"/>
              </w:rPr>
              <w:t>电力消耗</w:t>
            </w:r>
          </w:p>
        </w:tc>
        <w:tc>
          <w:tcPr>
            <w:tcW w:w="45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382"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kW·h</w:t>
            </w:r>
          </w:p>
        </w:tc>
        <w:tc>
          <w:tcPr>
            <w:tcW w:w="554"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258" w:type="pct"/>
            <w:gridSpan w:val="3"/>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611" w:type="pct"/>
            <w:tcBorders>
              <w:top w:val="single" w:color="auto" w:sz="4" w:space="0"/>
              <w:left w:val="single" w:color="auto" w:sz="4" w:space="0"/>
              <w:bottom w:val="single" w:color="auto" w:sz="4" w:space="0"/>
              <w:right w:val="single" w:color="auto" w:sz="4" w:space="0"/>
            </w:tcBorders>
            <w:noWrap w:val="0"/>
            <w:vAlign w:val="center"/>
          </w:tcPr>
          <w:p>
            <w:pPr>
              <w:rPr>
                <w:color w:val="auto"/>
                <w:sz w:val="18"/>
                <w:szCs w:val="18"/>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1272" w:type="pct"/>
            <w:gridSpan w:val="2"/>
            <w:tcBorders>
              <w:top w:val="single" w:color="auto" w:sz="4" w:space="0"/>
              <w:left w:val="single" w:color="auto" w:sz="4" w:space="0"/>
              <w:bottom w:val="single" w:color="auto" w:sz="4" w:space="0"/>
              <w:right w:val="single" w:color="auto" w:sz="4" w:space="0"/>
            </w:tcBorders>
            <w:noWrap w:val="0"/>
            <w:vAlign w:val="center"/>
          </w:tcPr>
          <w:p>
            <w:pPr>
              <w:rPr>
                <w:color w:val="auto"/>
                <w:sz w:val="18"/>
                <w:szCs w:val="18"/>
                <w:highlight w:val="none"/>
              </w:rPr>
            </w:pPr>
            <w:r>
              <w:rPr>
                <w:color w:val="auto"/>
                <w:sz w:val="18"/>
                <w:szCs w:val="18"/>
                <w:highlight w:val="none"/>
              </w:rPr>
              <w:t>其他：</w:t>
            </w:r>
            <w:r>
              <w:rPr>
                <w:color w:val="auto"/>
                <w:sz w:val="18"/>
                <w:szCs w:val="18"/>
                <w:highlight w:val="none"/>
                <w:u w:val="single"/>
              </w:rPr>
              <w:t xml:space="preserve">        </w:t>
            </w:r>
          </w:p>
        </w:tc>
        <w:tc>
          <w:tcPr>
            <w:tcW w:w="45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382"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554"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258" w:type="pct"/>
            <w:gridSpan w:val="3"/>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611" w:type="pct"/>
            <w:tcBorders>
              <w:top w:val="single" w:color="auto" w:sz="4" w:space="0"/>
              <w:left w:val="single" w:color="auto" w:sz="4" w:space="0"/>
              <w:bottom w:val="single" w:color="auto" w:sz="4" w:space="0"/>
              <w:right w:val="single" w:color="auto" w:sz="4" w:space="0"/>
            </w:tcBorders>
            <w:noWrap w:val="0"/>
            <w:vAlign w:val="center"/>
          </w:tcPr>
          <w:p>
            <w:pPr>
              <w:rPr>
                <w:color w:val="auto"/>
                <w:sz w:val="18"/>
                <w:szCs w:val="18"/>
                <w:highlight w:val="none"/>
              </w:rPr>
            </w:pPr>
            <w:r>
              <w:rPr>
                <w:color w:val="auto"/>
                <w:sz w:val="18"/>
                <w:szCs w:val="18"/>
                <w:highlight w:val="none"/>
              </w:rPr>
              <w:t>低位发热量：</w:t>
            </w:r>
            <w:r>
              <w:rPr>
                <w:color w:val="auto"/>
                <w:sz w:val="18"/>
                <w:szCs w:val="18"/>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463" w:type="pct"/>
            <w:vMerge w:val="restart"/>
            <w:tcBorders>
              <w:top w:val="single" w:color="auto" w:sz="4" w:space="0"/>
              <w:left w:val="single" w:color="auto" w:sz="4" w:space="0"/>
              <w:bottom w:val="single" w:color="auto" w:sz="4" w:space="0"/>
              <w:right w:val="single" w:color="auto" w:sz="4" w:space="0"/>
            </w:tcBorders>
            <w:noWrap w:val="0"/>
            <w:vAlign w:val="center"/>
          </w:tcPr>
          <w:p>
            <w:pPr>
              <w:spacing w:line="220" w:lineRule="atLeast"/>
              <w:jc w:val="center"/>
              <w:rPr>
                <w:color w:val="auto"/>
                <w:sz w:val="18"/>
                <w:szCs w:val="18"/>
                <w:highlight w:val="none"/>
              </w:rPr>
            </w:pPr>
            <w:r>
              <w:rPr>
                <w:color w:val="auto"/>
                <w:sz w:val="18"/>
                <w:szCs w:val="18"/>
                <w:highlight w:val="none"/>
              </w:rPr>
              <w:t>污染物</w:t>
            </w:r>
          </w:p>
        </w:tc>
        <w:tc>
          <w:tcPr>
            <w:tcW w:w="1272" w:type="pct"/>
            <w:gridSpan w:val="2"/>
            <w:tcBorders>
              <w:top w:val="single" w:color="auto" w:sz="4" w:space="0"/>
              <w:left w:val="single" w:color="auto" w:sz="4" w:space="0"/>
              <w:bottom w:val="single" w:color="auto" w:sz="4" w:space="0"/>
              <w:right w:val="single" w:color="auto" w:sz="4" w:space="0"/>
            </w:tcBorders>
            <w:noWrap w:val="0"/>
            <w:vAlign w:val="center"/>
          </w:tcPr>
          <w:p>
            <w:pPr>
              <w:spacing w:line="220" w:lineRule="atLeast"/>
              <w:jc w:val="center"/>
              <w:rPr>
                <w:color w:val="auto"/>
                <w:sz w:val="18"/>
                <w:szCs w:val="18"/>
                <w:highlight w:val="none"/>
              </w:rPr>
            </w:pPr>
            <w:r>
              <w:rPr>
                <w:color w:val="auto"/>
                <w:sz w:val="18"/>
                <w:szCs w:val="18"/>
                <w:highlight w:val="none"/>
              </w:rPr>
              <w:t>种类</w:t>
            </w:r>
          </w:p>
        </w:tc>
        <w:tc>
          <w:tcPr>
            <w:tcW w:w="45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排放量</w:t>
            </w:r>
          </w:p>
        </w:tc>
        <w:tc>
          <w:tcPr>
            <w:tcW w:w="382"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单位</w:t>
            </w:r>
          </w:p>
        </w:tc>
        <w:tc>
          <w:tcPr>
            <w:tcW w:w="1083"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数据来源（如：在线监测或定期环境检测报告）</w:t>
            </w:r>
          </w:p>
        </w:tc>
        <w:tc>
          <w:tcPr>
            <w:tcW w:w="1341" w:type="pct"/>
            <w:gridSpan w:val="3"/>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详细情况说明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539" w:type="pct"/>
            <w:vMerge w:val="restart"/>
            <w:tcBorders>
              <w:top w:val="single" w:color="auto" w:sz="4" w:space="0"/>
              <w:left w:val="single" w:color="auto" w:sz="4" w:space="0"/>
              <w:bottom w:val="single" w:color="auto" w:sz="4" w:space="0"/>
              <w:right w:val="single" w:color="auto" w:sz="4" w:space="0"/>
            </w:tcBorders>
            <w:noWrap w:val="0"/>
            <w:vAlign w:val="center"/>
          </w:tcPr>
          <w:p>
            <w:pPr>
              <w:spacing w:line="220" w:lineRule="atLeast"/>
              <w:jc w:val="center"/>
              <w:rPr>
                <w:color w:val="auto"/>
                <w:sz w:val="18"/>
                <w:szCs w:val="18"/>
                <w:highlight w:val="none"/>
              </w:rPr>
            </w:pPr>
            <w:r>
              <w:rPr>
                <w:color w:val="auto"/>
                <w:sz w:val="18"/>
                <w:szCs w:val="18"/>
                <w:highlight w:val="none"/>
              </w:rPr>
              <w:t>大气污染物</w:t>
            </w:r>
          </w:p>
        </w:tc>
        <w:tc>
          <w:tcPr>
            <w:tcW w:w="733" w:type="pct"/>
            <w:tcBorders>
              <w:top w:val="single" w:color="auto" w:sz="4" w:space="0"/>
              <w:left w:val="single" w:color="auto" w:sz="4" w:space="0"/>
              <w:bottom w:val="single" w:color="auto" w:sz="4" w:space="0"/>
              <w:right w:val="single" w:color="auto" w:sz="4" w:space="0"/>
            </w:tcBorders>
            <w:noWrap w:val="0"/>
            <w:vAlign w:val="center"/>
          </w:tcPr>
          <w:p>
            <w:pPr>
              <w:spacing w:line="220" w:lineRule="atLeast"/>
              <w:jc w:val="center"/>
              <w:rPr>
                <w:color w:val="auto"/>
                <w:sz w:val="18"/>
                <w:szCs w:val="18"/>
                <w:highlight w:val="none"/>
              </w:rPr>
            </w:pPr>
            <w:r>
              <w:rPr>
                <w:color w:val="auto"/>
                <w:sz w:val="18"/>
                <w:szCs w:val="18"/>
                <w:highlight w:val="none"/>
              </w:rPr>
              <w:t>颗粒物</w:t>
            </w:r>
          </w:p>
        </w:tc>
        <w:tc>
          <w:tcPr>
            <w:tcW w:w="45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382"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t</w:t>
            </w:r>
          </w:p>
        </w:tc>
        <w:tc>
          <w:tcPr>
            <w:tcW w:w="1083"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341" w:type="pct"/>
            <w:gridSpan w:val="3"/>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733" w:type="pct"/>
            <w:tcBorders>
              <w:top w:val="single" w:color="auto" w:sz="4" w:space="0"/>
              <w:left w:val="single" w:color="auto" w:sz="4" w:space="0"/>
              <w:bottom w:val="single" w:color="auto" w:sz="4" w:space="0"/>
              <w:right w:val="single" w:color="auto" w:sz="4" w:space="0"/>
            </w:tcBorders>
            <w:noWrap w:val="0"/>
            <w:vAlign w:val="center"/>
          </w:tcPr>
          <w:p>
            <w:pPr>
              <w:spacing w:line="220" w:lineRule="atLeast"/>
              <w:jc w:val="center"/>
              <w:rPr>
                <w:color w:val="auto"/>
                <w:sz w:val="18"/>
                <w:szCs w:val="18"/>
                <w:highlight w:val="none"/>
              </w:rPr>
            </w:pPr>
            <w:r>
              <w:rPr>
                <w:color w:val="auto"/>
                <w:sz w:val="18"/>
                <w:szCs w:val="18"/>
                <w:highlight w:val="none"/>
              </w:rPr>
              <w:t>二氧化硫</w:t>
            </w:r>
          </w:p>
        </w:tc>
        <w:tc>
          <w:tcPr>
            <w:tcW w:w="45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382"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t</w:t>
            </w:r>
          </w:p>
        </w:tc>
        <w:tc>
          <w:tcPr>
            <w:tcW w:w="1083"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341" w:type="pct"/>
            <w:gridSpan w:val="3"/>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733" w:type="pct"/>
            <w:tcBorders>
              <w:top w:val="single" w:color="auto" w:sz="4" w:space="0"/>
              <w:left w:val="single" w:color="auto" w:sz="4" w:space="0"/>
              <w:bottom w:val="single" w:color="auto" w:sz="4" w:space="0"/>
              <w:right w:val="single" w:color="auto" w:sz="4" w:space="0"/>
            </w:tcBorders>
            <w:noWrap w:val="0"/>
            <w:vAlign w:val="center"/>
          </w:tcPr>
          <w:p>
            <w:pPr>
              <w:spacing w:line="220" w:lineRule="atLeast"/>
              <w:jc w:val="center"/>
              <w:rPr>
                <w:color w:val="auto"/>
                <w:sz w:val="18"/>
                <w:szCs w:val="18"/>
                <w:highlight w:val="none"/>
              </w:rPr>
            </w:pPr>
            <w:r>
              <w:rPr>
                <w:color w:val="auto"/>
                <w:sz w:val="18"/>
                <w:szCs w:val="18"/>
                <w:highlight w:val="none"/>
              </w:rPr>
              <w:t>氮氧化物</w:t>
            </w:r>
          </w:p>
        </w:tc>
        <w:tc>
          <w:tcPr>
            <w:tcW w:w="45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382"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t</w:t>
            </w:r>
          </w:p>
        </w:tc>
        <w:tc>
          <w:tcPr>
            <w:tcW w:w="1083"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341" w:type="pct"/>
            <w:gridSpan w:val="3"/>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733" w:type="pct"/>
            <w:tcBorders>
              <w:top w:val="single" w:color="auto" w:sz="4" w:space="0"/>
              <w:left w:val="single" w:color="auto" w:sz="4" w:space="0"/>
              <w:bottom w:val="single" w:color="auto" w:sz="4" w:space="0"/>
              <w:right w:val="single" w:color="auto" w:sz="4" w:space="0"/>
            </w:tcBorders>
            <w:noWrap w:val="0"/>
            <w:vAlign w:val="center"/>
          </w:tcPr>
          <w:p>
            <w:pPr>
              <w:spacing w:line="220" w:lineRule="atLeast"/>
              <w:rPr>
                <w:color w:val="auto"/>
                <w:sz w:val="18"/>
                <w:szCs w:val="18"/>
                <w:highlight w:val="none"/>
              </w:rPr>
            </w:pPr>
            <w:r>
              <w:rPr>
                <w:color w:val="auto"/>
                <w:sz w:val="18"/>
                <w:szCs w:val="18"/>
                <w:highlight w:val="none"/>
              </w:rPr>
              <w:t>其他：</w:t>
            </w:r>
            <w:r>
              <w:rPr>
                <w:color w:val="auto"/>
                <w:sz w:val="18"/>
                <w:szCs w:val="18"/>
                <w:highlight w:val="none"/>
                <w:u w:val="single"/>
              </w:rPr>
              <w:t xml:space="preserve">        </w:t>
            </w:r>
          </w:p>
        </w:tc>
        <w:tc>
          <w:tcPr>
            <w:tcW w:w="45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382"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t</w:t>
            </w:r>
          </w:p>
        </w:tc>
        <w:tc>
          <w:tcPr>
            <w:tcW w:w="1083"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341" w:type="pct"/>
            <w:gridSpan w:val="3"/>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color w:val="auto"/>
                <w:sz w:val="18"/>
                <w:szCs w:val="18"/>
                <w:highlight w:val="none"/>
              </w:rPr>
            </w:pPr>
          </w:p>
        </w:tc>
        <w:tc>
          <w:tcPr>
            <w:tcW w:w="539"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rFonts w:hint="eastAsia"/>
                <w:color w:val="auto"/>
                <w:sz w:val="18"/>
                <w:szCs w:val="18"/>
                <w:highlight w:val="none"/>
              </w:rPr>
              <w:t>水体污染物</w:t>
            </w:r>
          </w:p>
        </w:tc>
        <w:tc>
          <w:tcPr>
            <w:tcW w:w="733" w:type="pct"/>
            <w:tcBorders>
              <w:top w:val="single" w:color="auto" w:sz="4" w:space="0"/>
              <w:left w:val="single" w:color="auto" w:sz="4" w:space="0"/>
              <w:bottom w:val="single" w:color="auto" w:sz="4" w:space="0"/>
              <w:right w:val="single" w:color="auto" w:sz="4" w:space="0"/>
            </w:tcBorders>
            <w:noWrap w:val="0"/>
            <w:vAlign w:val="center"/>
          </w:tcPr>
          <w:p>
            <w:pPr>
              <w:snapToGrid w:val="0"/>
              <w:spacing w:line="276" w:lineRule="auto"/>
              <w:rPr>
                <w:color w:val="auto"/>
                <w:sz w:val="18"/>
                <w:szCs w:val="18"/>
                <w:highlight w:val="none"/>
              </w:rPr>
            </w:pPr>
            <w:r>
              <w:rPr>
                <w:color w:val="auto"/>
                <w:sz w:val="18"/>
                <w:szCs w:val="18"/>
                <w:highlight w:val="none"/>
              </w:rPr>
              <w:t>污染物1：</w:t>
            </w:r>
            <w:r>
              <w:rPr>
                <w:color w:val="auto"/>
                <w:sz w:val="18"/>
                <w:szCs w:val="18"/>
                <w:highlight w:val="none"/>
                <w:u w:val="single"/>
              </w:rPr>
              <w:t xml:space="preserve">   </w:t>
            </w:r>
            <w:r>
              <w:rPr>
                <w:color w:val="auto"/>
                <w:sz w:val="18"/>
                <w:szCs w:val="18"/>
                <w:highlight w:val="none"/>
              </w:rPr>
              <w:t xml:space="preserve">： </w:t>
            </w:r>
          </w:p>
          <w:p>
            <w:pPr>
              <w:snapToGrid w:val="0"/>
              <w:spacing w:line="276" w:lineRule="auto"/>
              <w:rPr>
                <w:color w:val="auto"/>
                <w:sz w:val="18"/>
                <w:szCs w:val="18"/>
                <w:highlight w:val="none"/>
              </w:rPr>
            </w:pPr>
            <w:r>
              <w:rPr>
                <w:color w:val="auto"/>
                <w:sz w:val="18"/>
                <w:szCs w:val="18"/>
                <w:highlight w:val="none"/>
              </w:rPr>
              <w:t>污染物2：</w:t>
            </w:r>
            <w:r>
              <w:rPr>
                <w:color w:val="auto"/>
                <w:sz w:val="18"/>
                <w:szCs w:val="18"/>
                <w:highlight w:val="none"/>
                <w:u w:val="single"/>
              </w:rPr>
              <w:t xml:space="preserve">   </w:t>
            </w:r>
            <w:r>
              <w:rPr>
                <w:color w:val="auto"/>
                <w:sz w:val="18"/>
                <w:szCs w:val="18"/>
                <w:highlight w:val="none"/>
              </w:rPr>
              <w:t xml:space="preserve">： </w:t>
            </w:r>
          </w:p>
          <w:p>
            <w:pPr>
              <w:rPr>
                <w:color w:val="auto"/>
                <w:sz w:val="18"/>
                <w:szCs w:val="18"/>
                <w:highlight w:val="none"/>
                <w:u w:val="single"/>
              </w:rPr>
            </w:pPr>
            <w:r>
              <w:rPr>
                <w:color w:val="auto"/>
                <w:sz w:val="18"/>
                <w:szCs w:val="18"/>
                <w:highlight w:val="none"/>
              </w:rPr>
              <w:t>其他：</w:t>
            </w:r>
            <w:r>
              <w:rPr>
                <w:color w:val="auto"/>
                <w:sz w:val="18"/>
                <w:szCs w:val="18"/>
                <w:highlight w:val="none"/>
                <w:u w:val="single"/>
              </w:rPr>
              <w:t xml:space="preserve">        </w:t>
            </w:r>
          </w:p>
        </w:tc>
        <w:tc>
          <w:tcPr>
            <w:tcW w:w="457"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382" w:type="pct"/>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083"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p>
        </w:tc>
        <w:tc>
          <w:tcPr>
            <w:tcW w:w="1341" w:type="pct"/>
            <w:gridSpan w:val="3"/>
            <w:tcBorders>
              <w:top w:val="single" w:color="auto" w:sz="4" w:space="0"/>
              <w:left w:val="single" w:color="auto" w:sz="4" w:space="0"/>
              <w:bottom w:val="single" w:color="auto" w:sz="4" w:space="0"/>
              <w:right w:val="single" w:color="auto" w:sz="4" w:space="0"/>
            </w:tcBorders>
            <w:noWrap w:val="0"/>
            <w:vAlign w:val="center"/>
          </w:tcPr>
          <w:p>
            <w:pPr>
              <w:jc w:val="center"/>
              <w:rPr>
                <w:color w:val="auto"/>
                <w:sz w:val="18"/>
                <w:szCs w:val="18"/>
                <w:highlight w:val="none"/>
              </w:rPr>
            </w:pPr>
            <w:r>
              <w:rPr>
                <w:color w:val="auto"/>
                <w:sz w:val="18"/>
                <w:szCs w:val="18"/>
                <w:highlight w:val="none"/>
              </w:rPr>
              <w:t>分别列出种类与排放量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000" w:type="pct"/>
            <w:gridSpan w:val="10"/>
            <w:tcBorders>
              <w:top w:val="single" w:color="auto" w:sz="4" w:space="0"/>
              <w:left w:val="single" w:color="auto" w:sz="4" w:space="0"/>
              <w:bottom w:val="single" w:color="auto" w:sz="4" w:space="0"/>
              <w:right w:val="single" w:color="auto" w:sz="4" w:space="0"/>
            </w:tcBorders>
            <w:noWrap w:val="0"/>
            <w:vAlign w:val="center"/>
          </w:tcPr>
          <w:p>
            <w:pPr>
              <w:rPr>
                <w:color w:val="auto"/>
                <w:sz w:val="18"/>
                <w:szCs w:val="18"/>
                <w:highlight w:val="none"/>
              </w:rPr>
            </w:pPr>
            <w:r>
              <w:rPr>
                <w:rFonts w:hint="eastAsia"/>
                <w:color w:val="auto"/>
                <w:sz w:val="18"/>
                <w:szCs w:val="18"/>
                <w:highlight w:val="none"/>
                <w:vertAlign w:val="superscript"/>
              </w:rPr>
              <w:t>a</w:t>
            </w:r>
            <w:r>
              <w:rPr>
                <w:color w:val="auto"/>
                <w:sz w:val="18"/>
                <w:szCs w:val="18"/>
                <w:highlight w:val="none"/>
              </w:rPr>
              <w:t>按产品对应标准要求进行分类</w:t>
            </w:r>
          </w:p>
        </w:tc>
      </w:tr>
      <w:bookmarkEnd w:id="52"/>
    </w:tbl>
    <w:p>
      <w:pPr>
        <w:pStyle w:val="40"/>
        <w:spacing w:before="240" w:after="240" w:line="500" w:lineRule="exact"/>
        <w:rPr>
          <w:rFonts w:cs="Times New Roman"/>
          <w:sz w:val="24"/>
          <w:szCs w:val="24"/>
        </w:rPr>
      </w:pPr>
      <w:bookmarkStart w:id="53" w:name="_Toc46485324"/>
      <w:bookmarkStart w:id="54" w:name="_Toc66714172"/>
      <w:r>
        <w:rPr>
          <w:rFonts w:hint="eastAsia" w:cs="Times New Roman"/>
          <w:sz w:val="24"/>
          <w:szCs w:val="24"/>
        </w:rPr>
        <w:t>3.2.</w:t>
      </w:r>
      <w:r>
        <w:rPr>
          <w:rFonts w:cs="Times New Roman"/>
          <w:sz w:val="24"/>
          <w:szCs w:val="24"/>
        </w:rPr>
        <w:t xml:space="preserve">10 </w:t>
      </w:r>
      <w:r>
        <w:rPr>
          <w:rFonts w:hint="eastAsia" w:cs="Times New Roman"/>
          <w:sz w:val="24"/>
          <w:szCs w:val="24"/>
        </w:rPr>
        <w:t>附录</w:t>
      </w:r>
      <w:r>
        <w:rPr>
          <w:rFonts w:cs="Times New Roman"/>
          <w:sz w:val="24"/>
          <w:szCs w:val="24"/>
        </w:rPr>
        <w:t>D</w:t>
      </w:r>
      <w:bookmarkEnd w:id="53"/>
      <w:bookmarkEnd w:id="54"/>
    </w:p>
    <w:p>
      <w:pPr>
        <w:spacing w:line="500" w:lineRule="exact"/>
        <w:ind w:firstLine="480" w:firstLineChars="200"/>
        <w:rPr>
          <w:sz w:val="24"/>
        </w:rPr>
      </w:pPr>
      <w:r>
        <w:rPr>
          <w:rFonts w:hint="eastAsia"/>
          <w:sz w:val="24"/>
        </w:rPr>
        <w:t>附录</w:t>
      </w:r>
      <w:r>
        <w:rPr>
          <w:sz w:val="24"/>
        </w:rPr>
        <w:t>D</w:t>
      </w:r>
      <w:r>
        <w:rPr>
          <w:rFonts w:hint="eastAsia"/>
          <w:sz w:val="24"/>
        </w:rPr>
        <w:t>为资料性附录，是背景数据收集信息，包括背景</w:t>
      </w:r>
      <w:r>
        <w:rPr>
          <w:sz w:val="24"/>
        </w:rPr>
        <w:t>数据采集质量要求</w:t>
      </w:r>
      <w:r>
        <w:rPr>
          <w:rFonts w:hint="eastAsia"/>
          <w:sz w:val="24"/>
        </w:rPr>
        <w:t>以及格式。背景数据采集表见表3-10。</w:t>
      </w:r>
    </w:p>
    <w:p>
      <w:pPr>
        <w:spacing w:line="500" w:lineRule="exact"/>
        <w:ind w:firstLine="480" w:firstLineChars="200"/>
        <w:jc w:val="center"/>
        <w:rPr>
          <w:rFonts w:hint="eastAsia"/>
          <w:sz w:val="24"/>
        </w:rPr>
      </w:pPr>
      <w:r>
        <w:rPr>
          <w:rFonts w:hint="eastAsia"/>
          <w:sz w:val="24"/>
        </w:rPr>
        <w:t>表3-10背景数据采集表</w:t>
      </w:r>
    </w:p>
    <w:tbl>
      <w:tblPr>
        <w:tblStyle w:val="24"/>
        <w:tblW w:w="45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1181"/>
        <w:gridCol w:w="1052"/>
        <w:gridCol w:w="1449"/>
        <w:gridCol w:w="1250"/>
        <w:gridCol w:w="1250"/>
        <w:gridCol w:w="1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9"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bookmarkStart w:id="55" w:name="_Hlk65761410"/>
            <w:r>
              <w:rPr>
                <w:rFonts w:hint="eastAsia" w:ascii="宋体" w:hAnsi="宋体"/>
                <w:color w:val="auto"/>
                <w:sz w:val="18"/>
                <w:szCs w:val="18"/>
                <w:highlight w:val="none"/>
              </w:rPr>
              <w:t>背景数据</w:t>
            </w:r>
          </w:p>
        </w:tc>
        <w:tc>
          <w:tcPr>
            <w:tcW w:w="643"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数据来源</w:t>
            </w:r>
          </w:p>
        </w:tc>
        <w:tc>
          <w:tcPr>
            <w:tcW w:w="886"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数据获取方式</w:t>
            </w: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时间相关性</w:t>
            </w: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地域相关性</w:t>
            </w:r>
          </w:p>
        </w:tc>
        <w:tc>
          <w:tcPr>
            <w:tcW w:w="75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技术相关性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7" w:type="pct"/>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资源获取</w:t>
            </w:r>
          </w:p>
        </w:tc>
        <w:tc>
          <w:tcPr>
            <w:tcW w:w="72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镁砂</w:t>
            </w:r>
          </w:p>
        </w:tc>
        <w:tc>
          <w:tcPr>
            <w:tcW w:w="643"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886"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5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rFonts w:ascii="宋体" w:hAnsi="宋体"/>
                <w:color w:val="auto"/>
                <w:sz w:val="18"/>
                <w:szCs w:val="18"/>
                <w:highlight w:val="none"/>
              </w:rPr>
            </w:pPr>
          </w:p>
        </w:tc>
        <w:tc>
          <w:tcPr>
            <w:tcW w:w="72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石墨</w:t>
            </w:r>
          </w:p>
        </w:tc>
        <w:tc>
          <w:tcPr>
            <w:tcW w:w="643"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886"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5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rFonts w:ascii="宋体" w:hAnsi="宋体"/>
                <w:color w:val="auto"/>
                <w:sz w:val="18"/>
                <w:szCs w:val="18"/>
                <w:highlight w:val="none"/>
              </w:rPr>
            </w:pPr>
          </w:p>
        </w:tc>
        <w:tc>
          <w:tcPr>
            <w:tcW w:w="722"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抗氧化剂</w:t>
            </w:r>
          </w:p>
        </w:tc>
        <w:tc>
          <w:tcPr>
            <w:tcW w:w="643"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886"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5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rFonts w:ascii="宋体" w:hAnsi="宋体"/>
                <w:color w:val="auto"/>
                <w:sz w:val="18"/>
                <w:szCs w:val="18"/>
                <w:highlight w:val="none"/>
              </w:rPr>
            </w:pPr>
          </w:p>
        </w:tc>
        <w:tc>
          <w:tcPr>
            <w:tcW w:w="722"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水</w:t>
            </w:r>
          </w:p>
        </w:tc>
        <w:tc>
          <w:tcPr>
            <w:tcW w:w="643"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886"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5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rFonts w:ascii="宋体" w:hAnsi="宋体"/>
                <w:color w:val="auto"/>
                <w:sz w:val="18"/>
                <w:szCs w:val="18"/>
                <w:highlight w:val="none"/>
              </w:rPr>
            </w:pPr>
          </w:p>
        </w:tc>
        <w:tc>
          <w:tcPr>
            <w:tcW w:w="722" w:type="pct"/>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olor w:val="auto"/>
                <w:sz w:val="18"/>
                <w:szCs w:val="18"/>
                <w:highlight w:val="none"/>
              </w:rPr>
            </w:pPr>
            <w:r>
              <w:rPr>
                <w:color w:val="auto"/>
                <w:sz w:val="18"/>
                <w:szCs w:val="18"/>
                <w:highlight w:val="none"/>
              </w:rPr>
              <w:t>其他：</w:t>
            </w:r>
            <w:r>
              <w:rPr>
                <w:color w:val="auto"/>
                <w:sz w:val="18"/>
                <w:szCs w:val="18"/>
                <w:highlight w:val="none"/>
                <w:u w:val="single"/>
              </w:rPr>
              <w:t xml:space="preserve">     </w:t>
            </w:r>
          </w:p>
        </w:tc>
        <w:tc>
          <w:tcPr>
            <w:tcW w:w="643"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886"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5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7" w:type="pct"/>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能源获取</w:t>
            </w:r>
          </w:p>
        </w:tc>
        <w:tc>
          <w:tcPr>
            <w:tcW w:w="722"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天然气</w:t>
            </w:r>
          </w:p>
        </w:tc>
        <w:tc>
          <w:tcPr>
            <w:tcW w:w="643"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886"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5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rFonts w:ascii="宋体" w:hAnsi="宋体"/>
                <w:color w:val="auto"/>
                <w:sz w:val="18"/>
                <w:szCs w:val="18"/>
                <w:highlight w:val="none"/>
              </w:rPr>
            </w:pPr>
          </w:p>
        </w:tc>
        <w:tc>
          <w:tcPr>
            <w:tcW w:w="722"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煤</w:t>
            </w:r>
          </w:p>
        </w:tc>
        <w:tc>
          <w:tcPr>
            <w:tcW w:w="643"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886"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5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rFonts w:ascii="宋体" w:hAnsi="宋体"/>
                <w:color w:val="auto"/>
                <w:sz w:val="18"/>
                <w:szCs w:val="18"/>
                <w:highlight w:val="none"/>
              </w:rPr>
            </w:pPr>
          </w:p>
        </w:tc>
        <w:tc>
          <w:tcPr>
            <w:tcW w:w="722"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柴油</w:t>
            </w:r>
          </w:p>
        </w:tc>
        <w:tc>
          <w:tcPr>
            <w:tcW w:w="643"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886"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5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rFonts w:ascii="宋体" w:hAnsi="宋体"/>
                <w:color w:val="auto"/>
                <w:sz w:val="18"/>
                <w:szCs w:val="18"/>
                <w:highlight w:val="none"/>
              </w:rPr>
            </w:pPr>
          </w:p>
        </w:tc>
        <w:tc>
          <w:tcPr>
            <w:tcW w:w="722"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汽油</w:t>
            </w:r>
          </w:p>
        </w:tc>
        <w:tc>
          <w:tcPr>
            <w:tcW w:w="643"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886"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5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rFonts w:ascii="宋体" w:hAnsi="宋体"/>
                <w:color w:val="auto"/>
                <w:sz w:val="18"/>
                <w:szCs w:val="18"/>
                <w:highlight w:val="none"/>
              </w:rPr>
            </w:pPr>
          </w:p>
        </w:tc>
        <w:tc>
          <w:tcPr>
            <w:tcW w:w="722"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电</w:t>
            </w:r>
          </w:p>
        </w:tc>
        <w:tc>
          <w:tcPr>
            <w:tcW w:w="643"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886"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5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widowControl/>
              <w:rPr>
                <w:rFonts w:ascii="宋体" w:hAnsi="宋体"/>
                <w:color w:val="auto"/>
                <w:sz w:val="18"/>
                <w:szCs w:val="18"/>
                <w:highlight w:val="none"/>
              </w:rPr>
            </w:pPr>
          </w:p>
        </w:tc>
        <w:tc>
          <w:tcPr>
            <w:tcW w:w="722" w:type="pct"/>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olor w:val="auto"/>
                <w:sz w:val="18"/>
                <w:szCs w:val="18"/>
                <w:highlight w:val="none"/>
              </w:rPr>
            </w:pPr>
            <w:r>
              <w:rPr>
                <w:color w:val="auto"/>
                <w:sz w:val="18"/>
                <w:szCs w:val="18"/>
                <w:highlight w:val="none"/>
              </w:rPr>
              <w:t>其他：</w:t>
            </w:r>
            <w:r>
              <w:rPr>
                <w:color w:val="auto"/>
                <w:sz w:val="18"/>
                <w:szCs w:val="18"/>
                <w:highlight w:val="none"/>
                <w:u w:val="single"/>
              </w:rPr>
              <w:t xml:space="preserve">     </w:t>
            </w:r>
          </w:p>
        </w:tc>
        <w:tc>
          <w:tcPr>
            <w:tcW w:w="643"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886"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5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7" w:type="pct"/>
            <w:vMerge w:val="restart"/>
            <w:tcBorders>
              <w:top w:val="single" w:color="auto" w:sz="4" w:space="0"/>
              <w:left w:val="single" w:color="auto" w:sz="4" w:space="0"/>
              <w:right w:val="single" w:color="auto" w:sz="4" w:space="0"/>
            </w:tcBorders>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运输</w:t>
            </w:r>
          </w:p>
        </w:tc>
        <w:tc>
          <w:tcPr>
            <w:tcW w:w="722"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公路运输</w:t>
            </w:r>
          </w:p>
        </w:tc>
        <w:tc>
          <w:tcPr>
            <w:tcW w:w="643"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886"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5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left w:val="single" w:color="auto" w:sz="4" w:space="0"/>
              <w:right w:val="single" w:color="auto" w:sz="4" w:space="0"/>
            </w:tcBorders>
            <w:noWrap w:val="0"/>
            <w:vAlign w:val="center"/>
          </w:tcPr>
          <w:p>
            <w:pPr>
              <w:widowControl/>
              <w:rPr>
                <w:rFonts w:ascii="宋体" w:hAnsi="宋体"/>
                <w:color w:val="auto"/>
                <w:sz w:val="18"/>
                <w:szCs w:val="18"/>
                <w:highlight w:val="none"/>
              </w:rPr>
            </w:pPr>
          </w:p>
        </w:tc>
        <w:tc>
          <w:tcPr>
            <w:tcW w:w="722"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铁路运输</w:t>
            </w:r>
          </w:p>
        </w:tc>
        <w:tc>
          <w:tcPr>
            <w:tcW w:w="643"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886"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5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left w:val="single" w:color="auto" w:sz="4" w:space="0"/>
              <w:bottom w:val="single" w:color="auto" w:sz="4" w:space="0"/>
              <w:right w:val="single" w:color="auto" w:sz="4" w:space="0"/>
            </w:tcBorders>
            <w:noWrap w:val="0"/>
            <w:vAlign w:val="center"/>
          </w:tcPr>
          <w:p>
            <w:pPr>
              <w:widowControl/>
              <w:rPr>
                <w:rFonts w:ascii="宋体" w:hAnsi="宋体"/>
                <w:color w:val="auto"/>
                <w:sz w:val="18"/>
                <w:szCs w:val="18"/>
                <w:highlight w:val="none"/>
              </w:rPr>
            </w:pPr>
          </w:p>
        </w:tc>
        <w:tc>
          <w:tcPr>
            <w:tcW w:w="722"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水路运输</w:t>
            </w:r>
          </w:p>
        </w:tc>
        <w:tc>
          <w:tcPr>
            <w:tcW w:w="643"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886"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6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c>
          <w:tcPr>
            <w:tcW w:w="75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olor w:val="auto"/>
                <w:sz w:val="18"/>
                <w:szCs w:val="18"/>
                <w:highlight w:val="none"/>
              </w:rPr>
            </w:pPr>
          </w:p>
        </w:tc>
      </w:tr>
      <w:bookmarkEnd w:id="55"/>
    </w:tbl>
    <w:p>
      <w:pPr>
        <w:pStyle w:val="40"/>
        <w:spacing w:before="240" w:after="240" w:line="500" w:lineRule="exact"/>
        <w:rPr>
          <w:rFonts w:cs="Times New Roman"/>
          <w:sz w:val="24"/>
          <w:szCs w:val="24"/>
        </w:rPr>
      </w:pPr>
      <w:bookmarkStart w:id="56" w:name="_Toc46485325"/>
      <w:bookmarkStart w:id="57" w:name="_Toc66714173"/>
      <w:r>
        <w:rPr>
          <w:rFonts w:hint="eastAsia" w:cs="Times New Roman"/>
          <w:sz w:val="24"/>
          <w:szCs w:val="24"/>
        </w:rPr>
        <w:t>3.2.</w:t>
      </w:r>
      <w:r>
        <w:rPr>
          <w:rFonts w:cs="Times New Roman"/>
          <w:sz w:val="24"/>
          <w:szCs w:val="24"/>
        </w:rPr>
        <w:t xml:space="preserve">11 </w:t>
      </w:r>
      <w:r>
        <w:rPr>
          <w:rFonts w:hint="eastAsia" w:cs="Times New Roman"/>
          <w:sz w:val="24"/>
          <w:szCs w:val="24"/>
        </w:rPr>
        <w:t>附录</w:t>
      </w:r>
      <w:r>
        <w:rPr>
          <w:rFonts w:cs="Times New Roman"/>
          <w:sz w:val="24"/>
          <w:szCs w:val="24"/>
        </w:rPr>
        <w:t>E</w:t>
      </w:r>
      <w:bookmarkEnd w:id="56"/>
      <w:bookmarkEnd w:id="57"/>
    </w:p>
    <w:p>
      <w:pPr>
        <w:spacing w:line="500" w:lineRule="exact"/>
        <w:ind w:firstLine="480" w:firstLineChars="200"/>
        <w:rPr>
          <w:sz w:val="24"/>
        </w:rPr>
      </w:pPr>
      <w:r>
        <w:rPr>
          <w:rFonts w:hint="eastAsia"/>
          <w:sz w:val="24"/>
        </w:rPr>
        <w:t>附录</w:t>
      </w:r>
      <w:r>
        <w:rPr>
          <w:sz w:val="24"/>
        </w:rPr>
        <w:t>E</w:t>
      </w:r>
      <w:r>
        <w:rPr>
          <w:rFonts w:hint="eastAsia"/>
          <w:sz w:val="24"/>
        </w:rPr>
        <w:t>为资料性附录，是</w:t>
      </w:r>
      <w:r>
        <w:rPr>
          <w:rFonts w:hint="eastAsia"/>
          <w:sz w:val="24"/>
          <w:lang w:eastAsia="zh-CN"/>
        </w:rPr>
        <w:t>镁碳砖</w:t>
      </w:r>
      <w:r>
        <w:rPr>
          <w:sz w:val="24"/>
        </w:rPr>
        <w:t>生命周期清单表</w:t>
      </w:r>
      <w:r>
        <w:rPr>
          <w:rFonts w:hint="eastAsia"/>
          <w:sz w:val="24"/>
        </w:rPr>
        <w:t>，见表3-11。</w:t>
      </w:r>
    </w:p>
    <w:p>
      <w:pPr>
        <w:spacing w:line="500" w:lineRule="exact"/>
        <w:ind w:firstLine="480" w:firstLineChars="200"/>
        <w:jc w:val="center"/>
        <w:rPr>
          <w:sz w:val="24"/>
        </w:rPr>
      </w:pPr>
      <w:r>
        <w:rPr>
          <w:rFonts w:hint="eastAsia"/>
          <w:sz w:val="24"/>
        </w:rPr>
        <w:t>表3-11</w:t>
      </w:r>
      <w:r>
        <w:rPr>
          <w:rFonts w:hint="eastAsia"/>
          <w:sz w:val="24"/>
          <w:lang w:eastAsia="zh-CN"/>
        </w:rPr>
        <w:t>镁碳砖</w:t>
      </w:r>
      <w:r>
        <w:rPr>
          <w:sz w:val="24"/>
        </w:rPr>
        <w:t>生命周期清单表</w:t>
      </w:r>
    </w:p>
    <w:tbl>
      <w:tblPr>
        <w:tblStyle w:val="2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265"/>
        <w:gridCol w:w="1183"/>
        <w:gridCol w:w="1183"/>
        <w:gridCol w:w="1183"/>
        <w:gridCol w:w="1183"/>
        <w:gridCol w:w="118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366" w:type="dxa"/>
            <w:gridSpan w:val="2"/>
            <w:tcBorders>
              <w:top w:val="single" w:color="auto" w:sz="8" w:space="0"/>
              <w:bottom w:val="single" w:color="auto" w:sz="8" w:space="0"/>
            </w:tcBorders>
            <w:noWrap w:val="0"/>
            <w:vAlign w:val="center"/>
          </w:tcPr>
          <w:p>
            <w:pPr>
              <w:jc w:val="center"/>
              <w:rPr>
                <w:color w:val="auto"/>
                <w:sz w:val="18"/>
                <w:szCs w:val="18"/>
                <w:highlight w:val="none"/>
              </w:rPr>
            </w:pPr>
            <w:bookmarkStart w:id="58" w:name="_Hlk65761420"/>
            <w:r>
              <w:rPr>
                <w:rFonts w:hint="eastAsia"/>
                <w:color w:val="auto"/>
                <w:sz w:val="18"/>
                <w:szCs w:val="18"/>
                <w:highlight w:val="none"/>
              </w:rPr>
              <w:t>影响类型</w:t>
            </w:r>
          </w:p>
        </w:tc>
        <w:tc>
          <w:tcPr>
            <w:tcW w:w="1183" w:type="dxa"/>
            <w:tcBorders>
              <w:top w:val="single" w:color="auto" w:sz="8" w:space="0"/>
              <w:bottom w:val="single" w:color="auto" w:sz="8" w:space="0"/>
            </w:tcBorders>
            <w:noWrap w:val="0"/>
            <w:vAlign w:val="center"/>
          </w:tcPr>
          <w:p>
            <w:pPr>
              <w:widowControl/>
              <w:jc w:val="center"/>
              <w:rPr>
                <w:color w:val="auto"/>
                <w:sz w:val="18"/>
                <w:szCs w:val="18"/>
                <w:highlight w:val="none"/>
              </w:rPr>
            </w:pPr>
            <w:r>
              <w:rPr>
                <w:color w:val="auto"/>
                <w:sz w:val="18"/>
                <w:szCs w:val="18"/>
                <w:highlight w:val="none"/>
              </w:rPr>
              <w:t>原料获取</w:t>
            </w:r>
          </w:p>
        </w:tc>
        <w:tc>
          <w:tcPr>
            <w:tcW w:w="1183" w:type="dxa"/>
            <w:tcBorders>
              <w:top w:val="single" w:color="auto" w:sz="8" w:space="0"/>
              <w:bottom w:val="single" w:color="auto" w:sz="8" w:space="0"/>
            </w:tcBorders>
            <w:noWrap w:val="0"/>
            <w:vAlign w:val="center"/>
          </w:tcPr>
          <w:p>
            <w:pPr>
              <w:widowControl/>
              <w:jc w:val="center"/>
              <w:rPr>
                <w:color w:val="auto"/>
                <w:sz w:val="18"/>
                <w:szCs w:val="18"/>
                <w:highlight w:val="none"/>
              </w:rPr>
            </w:pPr>
            <w:r>
              <w:rPr>
                <w:color w:val="auto"/>
                <w:sz w:val="18"/>
                <w:szCs w:val="18"/>
                <w:highlight w:val="none"/>
              </w:rPr>
              <w:t>能源生产</w:t>
            </w:r>
          </w:p>
        </w:tc>
        <w:tc>
          <w:tcPr>
            <w:tcW w:w="1183" w:type="dxa"/>
            <w:tcBorders>
              <w:top w:val="single" w:color="auto" w:sz="8" w:space="0"/>
              <w:bottom w:val="single" w:color="auto" w:sz="8" w:space="0"/>
            </w:tcBorders>
            <w:noWrap w:val="0"/>
            <w:vAlign w:val="center"/>
          </w:tcPr>
          <w:p>
            <w:pPr>
              <w:widowControl/>
              <w:jc w:val="center"/>
              <w:rPr>
                <w:color w:val="auto"/>
                <w:sz w:val="18"/>
                <w:szCs w:val="18"/>
                <w:highlight w:val="none"/>
              </w:rPr>
            </w:pPr>
            <w:r>
              <w:rPr>
                <w:color w:val="auto"/>
                <w:sz w:val="18"/>
                <w:szCs w:val="18"/>
                <w:highlight w:val="none"/>
              </w:rPr>
              <w:t>运输</w:t>
            </w:r>
          </w:p>
        </w:tc>
        <w:tc>
          <w:tcPr>
            <w:tcW w:w="1183" w:type="dxa"/>
            <w:tcBorders>
              <w:top w:val="single" w:color="auto" w:sz="8" w:space="0"/>
              <w:bottom w:val="single" w:color="auto" w:sz="8" w:space="0"/>
            </w:tcBorders>
            <w:noWrap w:val="0"/>
            <w:vAlign w:val="center"/>
          </w:tcPr>
          <w:p>
            <w:pPr>
              <w:widowControl/>
              <w:jc w:val="center"/>
              <w:rPr>
                <w:color w:val="auto"/>
                <w:sz w:val="18"/>
                <w:szCs w:val="18"/>
                <w:highlight w:val="none"/>
              </w:rPr>
            </w:pPr>
            <w:r>
              <w:rPr>
                <w:color w:val="auto"/>
                <w:sz w:val="18"/>
                <w:szCs w:val="18"/>
                <w:highlight w:val="none"/>
              </w:rPr>
              <w:t>…</w:t>
            </w:r>
          </w:p>
        </w:tc>
        <w:tc>
          <w:tcPr>
            <w:tcW w:w="1184" w:type="dxa"/>
            <w:tcBorders>
              <w:top w:val="single" w:color="auto" w:sz="8" w:space="0"/>
              <w:bottom w:val="single" w:color="auto" w:sz="8" w:space="0"/>
            </w:tcBorders>
            <w:noWrap w:val="0"/>
            <w:vAlign w:val="center"/>
          </w:tcPr>
          <w:p>
            <w:pPr>
              <w:widowControl/>
              <w:jc w:val="center"/>
              <w:rPr>
                <w:color w:val="auto"/>
                <w:sz w:val="18"/>
                <w:szCs w:val="18"/>
                <w:highlight w:val="none"/>
              </w:rPr>
            </w:pPr>
            <w:r>
              <w:rPr>
                <w:color w:val="auto"/>
                <w:sz w:val="18"/>
                <w:szCs w:val="18"/>
                <w:highlight w:val="none"/>
              </w:rPr>
              <w:t>产品生产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101" w:type="dxa"/>
            <w:vMerge w:val="restart"/>
            <w:tcBorders>
              <w:top w:val="single" w:color="auto" w:sz="8" w:space="0"/>
            </w:tcBorders>
            <w:noWrap w:val="0"/>
            <w:vAlign w:val="center"/>
          </w:tcPr>
          <w:p>
            <w:pPr>
              <w:jc w:val="center"/>
              <w:rPr>
                <w:color w:val="auto"/>
                <w:sz w:val="18"/>
                <w:szCs w:val="18"/>
                <w:highlight w:val="none"/>
              </w:rPr>
            </w:pPr>
            <w:r>
              <w:rPr>
                <w:color w:val="auto"/>
                <w:sz w:val="18"/>
                <w:szCs w:val="18"/>
                <w:highlight w:val="none"/>
              </w:rPr>
              <w:t>资源消耗</w:t>
            </w:r>
          </w:p>
        </w:tc>
        <w:tc>
          <w:tcPr>
            <w:tcW w:w="1265" w:type="dxa"/>
            <w:tcBorders>
              <w:top w:val="single" w:color="auto" w:sz="8" w:space="0"/>
            </w:tcBorders>
            <w:noWrap w:val="0"/>
            <w:vAlign w:val="center"/>
          </w:tcPr>
          <w:p>
            <w:pPr>
              <w:jc w:val="center"/>
              <w:rPr>
                <w:rFonts w:hint="eastAsia"/>
                <w:color w:val="auto"/>
                <w:sz w:val="18"/>
                <w:szCs w:val="18"/>
                <w:highlight w:val="none"/>
              </w:rPr>
            </w:pPr>
            <w:r>
              <w:rPr>
                <w:rFonts w:hint="eastAsia"/>
                <w:color w:val="auto"/>
                <w:sz w:val="18"/>
                <w:szCs w:val="18"/>
                <w:highlight w:val="none"/>
              </w:rPr>
              <w:t>镁砂</w:t>
            </w:r>
          </w:p>
        </w:tc>
        <w:tc>
          <w:tcPr>
            <w:tcW w:w="1183" w:type="dxa"/>
            <w:tcBorders>
              <w:top w:val="single" w:color="auto" w:sz="8" w:space="0"/>
            </w:tcBorders>
            <w:noWrap w:val="0"/>
            <w:vAlign w:val="center"/>
          </w:tcPr>
          <w:p>
            <w:pPr>
              <w:jc w:val="center"/>
              <w:rPr>
                <w:color w:val="auto"/>
                <w:sz w:val="18"/>
                <w:szCs w:val="18"/>
                <w:highlight w:val="none"/>
              </w:rPr>
            </w:pPr>
          </w:p>
        </w:tc>
        <w:tc>
          <w:tcPr>
            <w:tcW w:w="1183" w:type="dxa"/>
            <w:tcBorders>
              <w:top w:val="single" w:color="auto" w:sz="8" w:space="0"/>
            </w:tcBorders>
            <w:noWrap w:val="0"/>
            <w:vAlign w:val="center"/>
          </w:tcPr>
          <w:p>
            <w:pPr>
              <w:jc w:val="center"/>
              <w:rPr>
                <w:color w:val="auto"/>
                <w:sz w:val="18"/>
                <w:szCs w:val="18"/>
                <w:highlight w:val="none"/>
              </w:rPr>
            </w:pPr>
          </w:p>
        </w:tc>
        <w:tc>
          <w:tcPr>
            <w:tcW w:w="1183" w:type="dxa"/>
            <w:tcBorders>
              <w:top w:val="single" w:color="auto" w:sz="8" w:space="0"/>
            </w:tcBorders>
            <w:noWrap w:val="0"/>
            <w:vAlign w:val="center"/>
          </w:tcPr>
          <w:p>
            <w:pPr>
              <w:jc w:val="center"/>
              <w:rPr>
                <w:color w:val="auto"/>
                <w:sz w:val="18"/>
                <w:szCs w:val="18"/>
                <w:highlight w:val="none"/>
              </w:rPr>
            </w:pPr>
          </w:p>
        </w:tc>
        <w:tc>
          <w:tcPr>
            <w:tcW w:w="1183" w:type="dxa"/>
            <w:tcBorders>
              <w:top w:val="single" w:color="auto" w:sz="8" w:space="0"/>
            </w:tcBorders>
            <w:noWrap w:val="0"/>
            <w:vAlign w:val="center"/>
          </w:tcPr>
          <w:p>
            <w:pPr>
              <w:jc w:val="center"/>
              <w:rPr>
                <w:color w:val="auto"/>
                <w:sz w:val="18"/>
                <w:szCs w:val="18"/>
                <w:highlight w:val="none"/>
              </w:rPr>
            </w:pPr>
          </w:p>
        </w:tc>
        <w:tc>
          <w:tcPr>
            <w:tcW w:w="1184" w:type="dxa"/>
            <w:tcBorders>
              <w:top w:val="single" w:color="auto" w:sz="8" w:space="0"/>
            </w:tcBorders>
            <w:noWrap w:val="0"/>
            <w:vAlign w:val="center"/>
          </w:tcPr>
          <w:p>
            <w:pPr>
              <w:jc w:val="center"/>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101" w:type="dxa"/>
            <w:vMerge w:val="continue"/>
            <w:noWrap w:val="0"/>
            <w:vAlign w:val="center"/>
          </w:tcPr>
          <w:p>
            <w:pPr>
              <w:jc w:val="center"/>
              <w:rPr>
                <w:color w:val="auto"/>
                <w:sz w:val="18"/>
                <w:szCs w:val="18"/>
                <w:highlight w:val="none"/>
              </w:rPr>
            </w:pPr>
          </w:p>
        </w:tc>
        <w:tc>
          <w:tcPr>
            <w:tcW w:w="1265" w:type="dxa"/>
            <w:tcBorders>
              <w:bottom w:val="single" w:color="auto" w:sz="4" w:space="0"/>
            </w:tcBorders>
            <w:noWrap w:val="0"/>
            <w:vAlign w:val="center"/>
          </w:tcPr>
          <w:p>
            <w:pPr>
              <w:jc w:val="center"/>
              <w:rPr>
                <w:rFonts w:hint="eastAsia"/>
                <w:color w:val="auto"/>
                <w:sz w:val="18"/>
                <w:szCs w:val="18"/>
                <w:highlight w:val="none"/>
              </w:rPr>
            </w:pPr>
            <w:r>
              <w:rPr>
                <w:rFonts w:hint="eastAsia"/>
                <w:color w:val="auto"/>
                <w:sz w:val="18"/>
                <w:szCs w:val="18"/>
                <w:highlight w:val="none"/>
              </w:rPr>
              <w:t>石墨</w:t>
            </w:r>
          </w:p>
        </w:tc>
        <w:tc>
          <w:tcPr>
            <w:tcW w:w="1183" w:type="dxa"/>
            <w:tcBorders>
              <w:bottom w:val="single" w:color="auto" w:sz="4" w:space="0"/>
            </w:tcBorders>
            <w:noWrap w:val="0"/>
            <w:vAlign w:val="center"/>
          </w:tcPr>
          <w:p>
            <w:pPr>
              <w:jc w:val="center"/>
              <w:rPr>
                <w:color w:val="auto"/>
                <w:sz w:val="18"/>
                <w:szCs w:val="18"/>
                <w:highlight w:val="none"/>
              </w:rPr>
            </w:pPr>
          </w:p>
        </w:tc>
        <w:tc>
          <w:tcPr>
            <w:tcW w:w="1183" w:type="dxa"/>
            <w:tcBorders>
              <w:bottom w:val="single" w:color="auto" w:sz="4" w:space="0"/>
            </w:tcBorders>
            <w:noWrap w:val="0"/>
            <w:vAlign w:val="center"/>
          </w:tcPr>
          <w:p>
            <w:pPr>
              <w:jc w:val="center"/>
              <w:rPr>
                <w:color w:val="auto"/>
                <w:sz w:val="18"/>
                <w:szCs w:val="18"/>
                <w:highlight w:val="none"/>
              </w:rPr>
            </w:pPr>
          </w:p>
        </w:tc>
        <w:tc>
          <w:tcPr>
            <w:tcW w:w="1183" w:type="dxa"/>
            <w:tcBorders>
              <w:bottom w:val="single" w:color="auto" w:sz="4" w:space="0"/>
            </w:tcBorders>
            <w:noWrap w:val="0"/>
            <w:vAlign w:val="center"/>
          </w:tcPr>
          <w:p>
            <w:pPr>
              <w:jc w:val="center"/>
              <w:rPr>
                <w:color w:val="auto"/>
                <w:sz w:val="18"/>
                <w:szCs w:val="18"/>
                <w:highlight w:val="none"/>
              </w:rPr>
            </w:pPr>
          </w:p>
        </w:tc>
        <w:tc>
          <w:tcPr>
            <w:tcW w:w="1183" w:type="dxa"/>
            <w:tcBorders>
              <w:bottom w:val="single" w:color="auto" w:sz="4" w:space="0"/>
            </w:tcBorders>
            <w:noWrap w:val="0"/>
            <w:vAlign w:val="center"/>
          </w:tcPr>
          <w:p>
            <w:pPr>
              <w:jc w:val="center"/>
              <w:rPr>
                <w:color w:val="auto"/>
                <w:sz w:val="18"/>
                <w:szCs w:val="18"/>
                <w:highlight w:val="none"/>
              </w:rPr>
            </w:pPr>
          </w:p>
        </w:tc>
        <w:tc>
          <w:tcPr>
            <w:tcW w:w="1184" w:type="dxa"/>
            <w:tcBorders>
              <w:bottom w:val="single" w:color="auto" w:sz="4" w:space="0"/>
            </w:tcBorders>
            <w:noWrap w:val="0"/>
            <w:vAlign w:val="center"/>
          </w:tcPr>
          <w:p>
            <w:pPr>
              <w:jc w:val="center"/>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101" w:type="dxa"/>
            <w:vMerge w:val="continue"/>
            <w:noWrap w:val="0"/>
            <w:vAlign w:val="center"/>
          </w:tcPr>
          <w:p>
            <w:pPr>
              <w:jc w:val="center"/>
              <w:rPr>
                <w:color w:val="auto"/>
                <w:sz w:val="18"/>
                <w:szCs w:val="18"/>
                <w:highlight w:val="none"/>
              </w:rPr>
            </w:pPr>
          </w:p>
        </w:tc>
        <w:tc>
          <w:tcPr>
            <w:tcW w:w="1265" w:type="dxa"/>
            <w:tcBorders>
              <w:top w:val="single" w:color="auto" w:sz="4" w:space="0"/>
              <w:bottom w:val="single" w:color="auto" w:sz="4" w:space="0"/>
            </w:tcBorders>
            <w:noWrap w:val="0"/>
            <w:vAlign w:val="center"/>
          </w:tcPr>
          <w:p>
            <w:pPr>
              <w:jc w:val="center"/>
              <w:rPr>
                <w:rFonts w:hint="eastAsia"/>
                <w:color w:val="auto"/>
                <w:sz w:val="18"/>
                <w:szCs w:val="18"/>
                <w:highlight w:val="none"/>
              </w:rPr>
            </w:pPr>
            <w:r>
              <w:rPr>
                <w:rFonts w:hint="eastAsia"/>
                <w:color w:val="auto"/>
                <w:sz w:val="18"/>
                <w:szCs w:val="18"/>
                <w:highlight w:val="none"/>
              </w:rPr>
              <w:t>抗氧化剂</w:t>
            </w:r>
          </w:p>
        </w:tc>
        <w:tc>
          <w:tcPr>
            <w:tcW w:w="1183" w:type="dxa"/>
            <w:tcBorders>
              <w:top w:val="single" w:color="auto" w:sz="4" w:space="0"/>
              <w:bottom w:val="single" w:color="auto" w:sz="4" w:space="0"/>
            </w:tcBorders>
            <w:noWrap w:val="0"/>
            <w:vAlign w:val="center"/>
          </w:tcPr>
          <w:p>
            <w:pPr>
              <w:jc w:val="center"/>
              <w:rPr>
                <w:color w:val="auto"/>
                <w:sz w:val="18"/>
                <w:szCs w:val="18"/>
                <w:highlight w:val="none"/>
              </w:rPr>
            </w:pPr>
          </w:p>
        </w:tc>
        <w:tc>
          <w:tcPr>
            <w:tcW w:w="1183" w:type="dxa"/>
            <w:tcBorders>
              <w:top w:val="single" w:color="auto" w:sz="4" w:space="0"/>
              <w:bottom w:val="single" w:color="auto" w:sz="4" w:space="0"/>
            </w:tcBorders>
            <w:noWrap w:val="0"/>
            <w:vAlign w:val="center"/>
          </w:tcPr>
          <w:p>
            <w:pPr>
              <w:jc w:val="center"/>
              <w:rPr>
                <w:color w:val="auto"/>
                <w:sz w:val="18"/>
                <w:szCs w:val="18"/>
                <w:highlight w:val="none"/>
              </w:rPr>
            </w:pPr>
          </w:p>
        </w:tc>
        <w:tc>
          <w:tcPr>
            <w:tcW w:w="1183" w:type="dxa"/>
            <w:tcBorders>
              <w:top w:val="single" w:color="auto" w:sz="4" w:space="0"/>
              <w:bottom w:val="single" w:color="auto" w:sz="4" w:space="0"/>
            </w:tcBorders>
            <w:noWrap w:val="0"/>
            <w:vAlign w:val="center"/>
          </w:tcPr>
          <w:p>
            <w:pPr>
              <w:jc w:val="center"/>
              <w:rPr>
                <w:color w:val="auto"/>
                <w:sz w:val="18"/>
                <w:szCs w:val="18"/>
                <w:highlight w:val="none"/>
              </w:rPr>
            </w:pPr>
          </w:p>
        </w:tc>
        <w:tc>
          <w:tcPr>
            <w:tcW w:w="1183" w:type="dxa"/>
            <w:tcBorders>
              <w:top w:val="single" w:color="auto" w:sz="4" w:space="0"/>
              <w:bottom w:val="single" w:color="auto" w:sz="4" w:space="0"/>
            </w:tcBorders>
            <w:noWrap w:val="0"/>
            <w:vAlign w:val="center"/>
          </w:tcPr>
          <w:p>
            <w:pPr>
              <w:jc w:val="center"/>
              <w:rPr>
                <w:color w:val="auto"/>
                <w:sz w:val="18"/>
                <w:szCs w:val="18"/>
                <w:highlight w:val="none"/>
              </w:rPr>
            </w:pPr>
          </w:p>
        </w:tc>
        <w:tc>
          <w:tcPr>
            <w:tcW w:w="1184" w:type="dxa"/>
            <w:tcBorders>
              <w:top w:val="single" w:color="auto" w:sz="4" w:space="0"/>
              <w:bottom w:val="single" w:color="auto" w:sz="4" w:space="0"/>
            </w:tcBorders>
            <w:noWrap w:val="0"/>
            <w:vAlign w:val="center"/>
          </w:tcPr>
          <w:p>
            <w:pPr>
              <w:jc w:val="center"/>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101" w:type="dxa"/>
            <w:vMerge w:val="continue"/>
            <w:noWrap w:val="0"/>
            <w:vAlign w:val="center"/>
          </w:tcPr>
          <w:p>
            <w:pPr>
              <w:jc w:val="center"/>
              <w:rPr>
                <w:color w:val="auto"/>
                <w:sz w:val="18"/>
                <w:szCs w:val="18"/>
                <w:highlight w:val="none"/>
              </w:rPr>
            </w:pPr>
          </w:p>
        </w:tc>
        <w:tc>
          <w:tcPr>
            <w:tcW w:w="1265" w:type="dxa"/>
            <w:tcBorders>
              <w:top w:val="single" w:color="auto" w:sz="4" w:space="0"/>
              <w:bottom w:val="single" w:color="auto" w:sz="4" w:space="0"/>
            </w:tcBorders>
            <w:noWrap w:val="0"/>
            <w:vAlign w:val="center"/>
          </w:tcPr>
          <w:p>
            <w:pPr>
              <w:jc w:val="center"/>
              <w:rPr>
                <w:rFonts w:hint="eastAsia"/>
                <w:color w:val="auto"/>
                <w:sz w:val="18"/>
                <w:szCs w:val="18"/>
                <w:highlight w:val="none"/>
              </w:rPr>
            </w:pPr>
            <w:r>
              <w:rPr>
                <w:rFonts w:hint="eastAsia"/>
                <w:color w:val="auto"/>
                <w:sz w:val="18"/>
                <w:szCs w:val="18"/>
                <w:highlight w:val="none"/>
              </w:rPr>
              <w:t>水</w:t>
            </w:r>
          </w:p>
        </w:tc>
        <w:tc>
          <w:tcPr>
            <w:tcW w:w="1183" w:type="dxa"/>
            <w:tcBorders>
              <w:top w:val="single" w:color="auto" w:sz="4" w:space="0"/>
              <w:bottom w:val="single" w:color="auto" w:sz="4" w:space="0"/>
            </w:tcBorders>
            <w:noWrap w:val="0"/>
            <w:vAlign w:val="center"/>
          </w:tcPr>
          <w:p>
            <w:pPr>
              <w:jc w:val="center"/>
              <w:rPr>
                <w:color w:val="auto"/>
                <w:sz w:val="18"/>
                <w:szCs w:val="18"/>
                <w:highlight w:val="none"/>
              </w:rPr>
            </w:pPr>
          </w:p>
        </w:tc>
        <w:tc>
          <w:tcPr>
            <w:tcW w:w="1183" w:type="dxa"/>
            <w:tcBorders>
              <w:top w:val="single" w:color="auto" w:sz="4" w:space="0"/>
              <w:bottom w:val="single" w:color="auto" w:sz="4" w:space="0"/>
            </w:tcBorders>
            <w:noWrap w:val="0"/>
            <w:vAlign w:val="center"/>
          </w:tcPr>
          <w:p>
            <w:pPr>
              <w:jc w:val="center"/>
              <w:rPr>
                <w:color w:val="auto"/>
                <w:sz w:val="18"/>
                <w:szCs w:val="18"/>
                <w:highlight w:val="none"/>
              </w:rPr>
            </w:pPr>
          </w:p>
        </w:tc>
        <w:tc>
          <w:tcPr>
            <w:tcW w:w="1183" w:type="dxa"/>
            <w:tcBorders>
              <w:top w:val="single" w:color="auto" w:sz="4" w:space="0"/>
              <w:bottom w:val="single" w:color="auto" w:sz="4" w:space="0"/>
            </w:tcBorders>
            <w:noWrap w:val="0"/>
            <w:vAlign w:val="center"/>
          </w:tcPr>
          <w:p>
            <w:pPr>
              <w:jc w:val="center"/>
              <w:rPr>
                <w:color w:val="auto"/>
                <w:sz w:val="18"/>
                <w:szCs w:val="18"/>
                <w:highlight w:val="none"/>
              </w:rPr>
            </w:pPr>
          </w:p>
        </w:tc>
        <w:tc>
          <w:tcPr>
            <w:tcW w:w="1183" w:type="dxa"/>
            <w:tcBorders>
              <w:top w:val="single" w:color="auto" w:sz="4" w:space="0"/>
              <w:bottom w:val="single" w:color="auto" w:sz="4" w:space="0"/>
            </w:tcBorders>
            <w:noWrap w:val="0"/>
            <w:vAlign w:val="center"/>
          </w:tcPr>
          <w:p>
            <w:pPr>
              <w:jc w:val="center"/>
              <w:rPr>
                <w:color w:val="auto"/>
                <w:sz w:val="18"/>
                <w:szCs w:val="18"/>
                <w:highlight w:val="none"/>
              </w:rPr>
            </w:pPr>
          </w:p>
        </w:tc>
        <w:tc>
          <w:tcPr>
            <w:tcW w:w="1184" w:type="dxa"/>
            <w:tcBorders>
              <w:top w:val="single" w:color="auto" w:sz="4" w:space="0"/>
              <w:bottom w:val="single" w:color="auto" w:sz="4" w:space="0"/>
            </w:tcBorders>
            <w:noWrap w:val="0"/>
            <w:vAlign w:val="center"/>
          </w:tcPr>
          <w:p>
            <w:pPr>
              <w:jc w:val="center"/>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101" w:type="dxa"/>
            <w:vMerge w:val="continue"/>
            <w:tcBorders>
              <w:bottom w:val="single" w:color="auto" w:sz="4" w:space="0"/>
            </w:tcBorders>
            <w:noWrap w:val="0"/>
            <w:vAlign w:val="center"/>
          </w:tcPr>
          <w:p>
            <w:pPr>
              <w:jc w:val="center"/>
              <w:rPr>
                <w:color w:val="auto"/>
                <w:sz w:val="18"/>
                <w:szCs w:val="18"/>
                <w:highlight w:val="none"/>
              </w:rPr>
            </w:pPr>
          </w:p>
        </w:tc>
        <w:tc>
          <w:tcPr>
            <w:tcW w:w="1265" w:type="dxa"/>
            <w:tcBorders>
              <w:top w:val="single" w:color="auto" w:sz="4" w:space="0"/>
              <w:bottom w:val="single" w:color="auto" w:sz="4" w:space="0"/>
            </w:tcBorders>
            <w:noWrap w:val="0"/>
            <w:vAlign w:val="center"/>
          </w:tcPr>
          <w:p>
            <w:pPr>
              <w:rPr>
                <w:color w:val="auto"/>
                <w:sz w:val="18"/>
                <w:szCs w:val="18"/>
                <w:highlight w:val="none"/>
              </w:rPr>
            </w:pPr>
            <w:r>
              <w:rPr>
                <w:color w:val="auto"/>
                <w:sz w:val="18"/>
                <w:szCs w:val="18"/>
                <w:highlight w:val="none"/>
              </w:rPr>
              <w:t>其他：</w:t>
            </w:r>
            <w:r>
              <w:rPr>
                <w:color w:val="auto"/>
                <w:sz w:val="18"/>
                <w:szCs w:val="18"/>
                <w:highlight w:val="none"/>
                <w:u w:val="single"/>
              </w:rPr>
              <w:t xml:space="preserve">     </w:t>
            </w:r>
          </w:p>
        </w:tc>
        <w:tc>
          <w:tcPr>
            <w:tcW w:w="1183" w:type="dxa"/>
            <w:tcBorders>
              <w:top w:val="single" w:color="auto" w:sz="4" w:space="0"/>
              <w:bottom w:val="single" w:color="auto" w:sz="4" w:space="0"/>
            </w:tcBorders>
            <w:noWrap w:val="0"/>
            <w:vAlign w:val="center"/>
          </w:tcPr>
          <w:p>
            <w:pPr>
              <w:jc w:val="center"/>
              <w:rPr>
                <w:color w:val="auto"/>
                <w:sz w:val="18"/>
                <w:szCs w:val="18"/>
                <w:highlight w:val="none"/>
              </w:rPr>
            </w:pPr>
          </w:p>
        </w:tc>
        <w:tc>
          <w:tcPr>
            <w:tcW w:w="1183" w:type="dxa"/>
            <w:tcBorders>
              <w:top w:val="single" w:color="auto" w:sz="4" w:space="0"/>
              <w:bottom w:val="single" w:color="auto" w:sz="4" w:space="0"/>
            </w:tcBorders>
            <w:noWrap w:val="0"/>
            <w:vAlign w:val="center"/>
          </w:tcPr>
          <w:p>
            <w:pPr>
              <w:jc w:val="center"/>
              <w:rPr>
                <w:color w:val="auto"/>
                <w:sz w:val="18"/>
                <w:szCs w:val="18"/>
                <w:highlight w:val="none"/>
              </w:rPr>
            </w:pPr>
          </w:p>
        </w:tc>
        <w:tc>
          <w:tcPr>
            <w:tcW w:w="1183" w:type="dxa"/>
            <w:tcBorders>
              <w:top w:val="single" w:color="auto" w:sz="4" w:space="0"/>
              <w:bottom w:val="single" w:color="auto" w:sz="4" w:space="0"/>
            </w:tcBorders>
            <w:noWrap w:val="0"/>
            <w:vAlign w:val="center"/>
          </w:tcPr>
          <w:p>
            <w:pPr>
              <w:jc w:val="center"/>
              <w:rPr>
                <w:color w:val="auto"/>
                <w:sz w:val="18"/>
                <w:szCs w:val="18"/>
                <w:highlight w:val="none"/>
              </w:rPr>
            </w:pPr>
          </w:p>
        </w:tc>
        <w:tc>
          <w:tcPr>
            <w:tcW w:w="1183" w:type="dxa"/>
            <w:tcBorders>
              <w:top w:val="single" w:color="auto" w:sz="4" w:space="0"/>
              <w:bottom w:val="single" w:color="auto" w:sz="4" w:space="0"/>
            </w:tcBorders>
            <w:noWrap w:val="0"/>
            <w:vAlign w:val="center"/>
          </w:tcPr>
          <w:p>
            <w:pPr>
              <w:jc w:val="center"/>
              <w:rPr>
                <w:color w:val="auto"/>
                <w:sz w:val="18"/>
                <w:szCs w:val="18"/>
                <w:highlight w:val="none"/>
              </w:rPr>
            </w:pPr>
          </w:p>
        </w:tc>
        <w:tc>
          <w:tcPr>
            <w:tcW w:w="1184" w:type="dxa"/>
            <w:tcBorders>
              <w:top w:val="single" w:color="auto" w:sz="4" w:space="0"/>
              <w:bottom w:val="single" w:color="auto" w:sz="4" w:space="0"/>
            </w:tcBorders>
            <w:noWrap w:val="0"/>
            <w:vAlign w:val="center"/>
          </w:tcPr>
          <w:p>
            <w:pPr>
              <w:jc w:val="center"/>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101" w:type="dxa"/>
            <w:vMerge w:val="restart"/>
            <w:tcBorders>
              <w:top w:val="single" w:color="auto" w:sz="4" w:space="0"/>
            </w:tcBorders>
            <w:noWrap w:val="0"/>
            <w:vAlign w:val="center"/>
          </w:tcPr>
          <w:p>
            <w:pPr>
              <w:jc w:val="center"/>
              <w:rPr>
                <w:color w:val="auto"/>
                <w:sz w:val="18"/>
                <w:szCs w:val="18"/>
                <w:highlight w:val="none"/>
              </w:rPr>
            </w:pPr>
            <w:r>
              <w:rPr>
                <w:color w:val="auto"/>
                <w:sz w:val="18"/>
                <w:szCs w:val="18"/>
                <w:highlight w:val="none"/>
              </w:rPr>
              <w:t>能源消耗</w:t>
            </w:r>
          </w:p>
        </w:tc>
        <w:tc>
          <w:tcPr>
            <w:tcW w:w="1265" w:type="dxa"/>
            <w:tcBorders>
              <w:top w:val="single" w:color="auto" w:sz="4" w:space="0"/>
              <w:bottom w:val="single" w:color="auto" w:sz="8" w:space="0"/>
            </w:tcBorders>
            <w:noWrap w:val="0"/>
            <w:vAlign w:val="center"/>
          </w:tcPr>
          <w:p>
            <w:pPr>
              <w:jc w:val="center"/>
              <w:rPr>
                <w:color w:val="auto"/>
                <w:sz w:val="18"/>
                <w:szCs w:val="18"/>
                <w:highlight w:val="none"/>
              </w:rPr>
            </w:pPr>
            <w:r>
              <w:rPr>
                <w:color w:val="auto"/>
                <w:sz w:val="18"/>
                <w:szCs w:val="18"/>
                <w:highlight w:val="none"/>
              </w:rPr>
              <w:t>原煤</w:t>
            </w: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4" w:type="dxa"/>
            <w:tcBorders>
              <w:top w:val="single" w:color="auto" w:sz="4" w:space="0"/>
              <w:bottom w:val="single" w:color="auto" w:sz="8" w:space="0"/>
            </w:tcBorders>
            <w:noWrap w:val="0"/>
            <w:vAlign w:val="center"/>
          </w:tcPr>
          <w:p>
            <w:pPr>
              <w:jc w:val="center"/>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101" w:type="dxa"/>
            <w:vMerge w:val="continue"/>
            <w:noWrap w:val="0"/>
            <w:vAlign w:val="center"/>
          </w:tcPr>
          <w:p>
            <w:pPr>
              <w:jc w:val="center"/>
              <w:rPr>
                <w:color w:val="auto"/>
                <w:sz w:val="18"/>
                <w:szCs w:val="18"/>
                <w:highlight w:val="none"/>
              </w:rPr>
            </w:pPr>
          </w:p>
        </w:tc>
        <w:tc>
          <w:tcPr>
            <w:tcW w:w="1265" w:type="dxa"/>
            <w:tcBorders>
              <w:top w:val="single" w:color="auto" w:sz="4" w:space="0"/>
              <w:bottom w:val="single" w:color="auto" w:sz="8" w:space="0"/>
            </w:tcBorders>
            <w:noWrap w:val="0"/>
            <w:vAlign w:val="center"/>
          </w:tcPr>
          <w:p>
            <w:pPr>
              <w:jc w:val="center"/>
              <w:rPr>
                <w:color w:val="auto"/>
                <w:sz w:val="18"/>
                <w:szCs w:val="18"/>
                <w:highlight w:val="none"/>
              </w:rPr>
            </w:pPr>
            <w:r>
              <w:rPr>
                <w:color w:val="auto"/>
                <w:sz w:val="18"/>
                <w:szCs w:val="18"/>
                <w:highlight w:val="none"/>
              </w:rPr>
              <w:t>原油</w:t>
            </w: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4" w:type="dxa"/>
            <w:tcBorders>
              <w:top w:val="single" w:color="auto" w:sz="4" w:space="0"/>
              <w:bottom w:val="single" w:color="auto" w:sz="8" w:space="0"/>
            </w:tcBorders>
            <w:noWrap w:val="0"/>
            <w:vAlign w:val="center"/>
          </w:tcPr>
          <w:p>
            <w:pPr>
              <w:jc w:val="center"/>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101" w:type="dxa"/>
            <w:vMerge w:val="continue"/>
            <w:noWrap w:val="0"/>
            <w:vAlign w:val="center"/>
          </w:tcPr>
          <w:p>
            <w:pPr>
              <w:jc w:val="center"/>
              <w:rPr>
                <w:color w:val="auto"/>
                <w:sz w:val="18"/>
                <w:szCs w:val="18"/>
                <w:highlight w:val="none"/>
              </w:rPr>
            </w:pPr>
          </w:p>
        </w:tc>
        <w:tc>
          <w:tcPr>
            <w:tcW w:w="1265" w:type="dxa"/>
            <w:tcBorders>
              <w:top w:val="single" w:color="auto" w:sz="4" w:space="0"/>
              <w:bottom w:val="single" w:color="auto" w:sz="8" w:space="0"/>
            </w:tcBorders>
            <w:noWrap w:val="0"/>
            <w:vAlign w:val="center"/>
          </w:tcPr>
          <w:p>
            <w:pPr>
              <w:jc w:val="center"/>
              <w:rPr>
                <w:color w:val="auto"/>
                <w:sz w:val="18"/>
                <w:szCs w:val="18"/>
                <w:highlight w:val="none"/>
              </w:rPr>
            </w:pPr>
            <w:r>
              <w:rPr>
                <w:color w:val="auto"/>
                <w:sz w:val="18"/>
                <w:szCs w:val="18"/>
                <w:highlight w:val="none"/>
              </w:rPr>
              <w:t>天然气</w:t>
            </w: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4" w:type="dxa"/>
            <w:tcBorders>
              <w:top w:val="single" w:color="auto" w:sz="4" w:space="0"/>
              <w:bottom w:val="single" w:color="auto" w:sz="8" w:space="0"/>
            </w:tcBorders>
            <w:noWrap w:val="0"/>
            <w:vAlign w:val="center"/>
          </w:tcPr>
          <w:p>
            <w:pPr>
              <w:jc w:val="center"/>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101" w:type="dxa"/>
            <w:vMerge w:val="continue"/>
            <w:tcBorders>
              <w:bottom w:val="single" w:color="auto" w:sz="8" w:space="0"/>
            </w:tcBorders>
            <w:noWrap w:val="0"/>
            <w:vAlign w:val="center"/>
          </w:tcPr>
          <w:p>
            <w:pPr>
              <w:jc w:val="center"/>
              <w:rPr>
                <w:color w:val="auto"/>
                <w:sz w:val="18"/>
                <w:szCs w:val="18"/>
                <w:highlight w:val="none"/>
              </w:rPr>
            </w:pPr>
          </w:p>
        </w:tc>
        <w:tc>
          <w:tcPr>
            <w:tcW w:w="1265" w:type="dxa"/>
            <w:tcBorders>
              <w:top w:val="single" w:color="auto" w:sz="4" w:space="0"/>
              <w:bottom w:val="single" w:color="auto" w:sz="8" w:space="0"/>
            </w:tcBorders>
            <w:noWrap w:val="0"/>
            <w:vAlign w:val="center"/>
          </w:tcPr>
          <w:p>
            <w:pPr>
              <w:rPr>
                <w:color w:val="auto"/>
                <w:sz w:val="18"/>
                <w:szCs w:val="18"/>
                <w:highlight w:val="none"/>
              </w:rPr>
            </w:pPr>
            <w:r>
              <w:rPr>
                <w:color w:val="auto"/>
                <w:sz w:val="18"/>
                <w:szCs w:val="18"/>
                <w:highlight w:val="none"/>
              </w:rPr>
              <w:t>其他：</w:t>
            </w:r>
            <w:r>
              <w:rPr>
                <w:color w:val="auto"/>
                <w:sz w:val="18"/>
                <w:szCs w:val="18"/>
                <w:highlight w:val="none"/>
                <w:u w:val="single"/>
              </w:rPr>
              <w:t xml:space="preserve">     </w:t>
            </w: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4" w:type="dxa"/>
            <w:tcBorders>
              <w:top w:val="single" w:color="auto" w:sz="4" w:space="0"/>
              <w:bottom w:val="single" w:color="auto" w:sz="8" w:space="0"/>
            </w:tcBorders>
            <w:noWrap w:val="0"/>
            <w:vAlign w:val="center"/>
          </w:tcPr>
          <w:p>
            <w:pPr>
              <w:jc w:val="center"/>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101" w:type="dxa"/>
            <w:vMerge w:val="restart"/>
            <w:tcBorders>
              <w:top w:val="single" w:color="auto" w:sz="4" w:space="0"/>
            </w:tcBorders>
            <w:noWrap w:val="0"/>
            <w:vAlign w:val="center"/>
          </w:tcPr>
          <w:p>
            <w:pPr>
              <w:jc w:val="center"/>
              <w:rPr>
                <w:color w:val="auto"/>
                <w:sz w:val="18"/>
                <w:szCs w:val="18"/>
                <w:highlight w:val="none"/>
              </w:rPr>
            </w:pPr>
            <w:r>
              <w:rPr>
                <w:color w:val="auto"/>
                <w:sz w:val="18"/>
                <w:szCs w:val="18"/>
                <w:highlight w:val="none"/>
              </w:rPr>
              <w:t>空气排放</w:t>
            </w:r>
          </w:p>
        </w:tc>
        <w:tc>
          <w:tcPr>
            <w:tcW w:w="1265" w:type="dxa"/>
            <w:tcBorders>
              <w:top w:val="single" w:color="auto" w:sz="4" w:space="0"/>
              <w:bottom w:val="single" w:color="auto" w:sz="8" w:space="0"/>
            </w:tcBorders>
            <w:noWrap w:val="0"/>
            <w:vAlign w:val="center"/>
          </w:tcPr>
          <w:p>
            <w:pPr>
              <w:jc w:val="center"/>
              <w:rPr>
                <w:color w:val="auto"/>
                <w:sz w:val="18"/>
                <w:szCs w:val="18"/>
                <w:highlight w:val="none"/>
              </w:rPr>
            </w:pPr>
            <w:r>
              <w:rPr>
                <w:color w:val="auto"/>
                <w:sz w:val="18"/>
                <w:highlight w:val="none"/>
              </w:rPr>
              <w:t>颗粒物</w:t>
            </w: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4" w:type="dxa"/>
            <w:tcBorders>
              <w:top w:val="single" w:color="auto" w:sz="4" w:space="0"/>
              <w:bottom w:val="single" w:color="auto" w:sz="8" w:space="0"/>
            </w:tcBorders>
            <w:noWrap w:val="0"/>
            <w:vAlign w:val="center"/>
          </w:tcPr>
          <w:p>
            <w:pPr>
              <w:jc w:val="center"/>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101" w:type="dxa"/>
            <w:vMerge w:val="continue"/>
            <w:noWrap w:val="0"/>
            <w:vAlign w:val="center"/>
          </w:tcPr>
          <w:p>
            <w:pPr>
              <w:jc w:val="center"/>
              <w:rPr>
                <w:color w:val="auto"/>
                <w:sz w:val="18"/>
                <w:szCs w:val="18"/>
                <w:highlight w:val="none"/>
              </w:rPr>
            </w:pPr>
          </w:p>
        </w:tc>
        <w:tc>
          <w:tcPr>
            <w:tcW w:w="1265" w:type="dxa"/>
            <w:tcBorders>
              <w:top w:val="single" w:color="auto" w:sz="4" w:space="0"/>
              <w:bottom w:val="single" w:color="auto" w:sz="8" w:space="0"/>
            </w:tcBorders>
            <w:noWrap w:val="0"/>
            <w:vAlign w:val="center"/>
          </w:tcPr>
          <w:p>
            <w:pPr>
              <w:jc w:val="center"/>
              <w:rPr>
                <w:color w:val="auto"/>
                <w:sz w:val="18"/>
                <w:szCs w:val="18"/>
                <w:highlight w:val="none"/>
              </w:rPr>
            </w:pPr>
            <w:r>
              <w:rPr>
                <w:rFonts w:hint="eastAsia"/>
                <w:color w:val="auto"/>
                <w:sz w:val="18"/>
                <w:highlight w:val="none"/>
              </w:rPr>
              <w:t>二氧化硫</w:t>
            </w: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4" w:type="dxa"/>
            <w:tcBorders>
              <w:top w:val="single" w:color="auto" w:sz="4" w:space="0"/>
              <w:bottom w:val="single" w:color="auto" w:sz="8" w:space="0"/>
            </w:tcBorders>
            <w:noWrap w:val="0"/>
            <w:vAlign w:val="center"/>
          </w:tcPr>
          <w:p>
            <w:pPr>
              <w:jc w:val="center"/>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101" w:type="dxa"/>
            <w:vMerge w:val="continue"/>
            <w:noWrap w:val="0"/>
            <w:vAlign w:val="center"/>
          </w:tcPr>
          <w:p>
            <w:pPr>
              <w:jc w:val="center"/>
              <w:rPr>
                <w:color w:val="auto"/>
                <w:sz w:val="18"/>
                <w:szCs w:val="18"/>
                <w:highlight w:val="none"/>
              </w:rPr>
            </w:pPr>
          </w:p>
        </w:tc>
        <w:tc>
          <w:tcPr>
            <w:tcW w:w="1265" w:type="dxa"/>
            <w:tcBorders>
              <w:top w:val="single" w:color="auto" w:sz="4" w:space="0"/>
              <w:bottom w:val="single" w:color="auto" w:sz="8" w:space="0"/>
            </w:tcBorders>
            <w:noWrap w:val="0"/>
            <w:vAlign w:val="center"/>
          </w:tcPr>
          <w:p>
            <w:pPr>
              <w:jc w:val="center"/>
              <w:rPr>
                <w:color w:val="auto"/>
                <w:sz w:val="18"/>
                <w:szCs w:val="18"/>
                <w:highlight w:val="none"/>
              </w:rPr>
            </w:pPr>
            <w:r>
              <w:rPr>
                <w:rFonts w:hint="eastAsia"/>
                <w:color w:val="auto"/>
                <w:sz w:val="18"/>
                <w:highlight w:val="none"/>
              </w:rPr>
              <w:t>氮氧化物</w:t>
            </w: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4" w:type="dxa"/>
            <w:tcBorders>
              <w:top w:val="single" w:color="auto" w:sz="4" w:space="0"/>
              <w:bottom w:val="single" w:color="auto" w:sz="8" w:space="0"/>
            </w:tcBorders>
            <w:noWrap w:val="0"/>
            <w:vAlign w:val="center"/>
          </w:tcPr>
          <w:p>
            <w:pPr>
              <w:jc w:val="center"/>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101" w:type="dxa"/>
            <w:vMerge w:val="continue"/>
            <w:tcBorders>
              <w:bottom w:val="single" w:color="auto" w:sz="8" w:space="0"/>
            </w:tcBorders>
            <w:noWrap w:val="0"/>
            <w:vAlign w:val="center"/>
          </w:tcPr>
          <w:p>
            <w:pPr>
              <w:jc w:val="center"/>
              <w:rPr>
                <w:color w:val="auto"/>
                <w:sz w:val="18"/>
                <w:szCs w:val="18"/>
                <w:highlight w:val="none"/>
              </w:rPr>
            </w:pPr>
          </w:p>
        </w:tc>
        <w:tc>
          <w:tcPr>
            <w:tcW w:w="1265" w:type="dxa"/>
            <w:tcBorders>
              <w:top w:val="single" w:color="auto" w:sz="4" w:space="0"/>
              <w:bottom w:val="single" w:color="auto" w:sz="8" w:space="0"/>
            </w:tcBorders>
            <w:noWrap w:val="0"/>
            <w:vAlign w:val="center"/>
          </w:tcPr>
          <w:p>
            <w:pPr>
              <w:rPr>
                <w:color w:val="auto"/>
                <w:sz w:val="18"/>
                <w:szCs w:val="18"/>
                <w:highlight w:val="none"/>
              </w:rPr>
            </w:pPr>
            <w:r>
              <w:rPr>
                <w:color w:val="auto"/>
                <w:sz w:val="18"/>
                <w:szCs w:val="18"/>
                <w:highlight w:val="none"/>
              </w:rPr>
              <w:t>其他：</w:t>
            </w:r>
            <w:r>
              <w:rPr>
                <w:color w:val="auto"/>
                <w:sz w:val="18"/>
                <w:szCs w:val="18"/>
                <w:highlight w:val="none"/>
                <w:u w:val="single"/>
              </w:rPr>
              <w:t xml:space="preserve">     </w:t>
            </w: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4" w:type="dxa"/>
            <w:tcBorders>
              <w:top w:val="single" w:color="auto" w:sz="4" w:space="0"/>
              <w:bottom w:val="single" w:color="auto" w:sz="8" w:space="0"/>
            </w:tcBorders>
            <w:noWrap w:val="0"/>
            <w:vAlign w:val="center"/>
          </w:tcPr>
          <w:p>
            <w:pPr>
              <w:jc w:val="center"/>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101" w:type="dxa"/>
            <w:vMerge w:val="restart"/>
            <w:tcBorders>
              <w:top w:val="single" w:color="auto" w:sz="4" w:space="0"/>
            </w:tcBorders>
            <w:noWrap w:val="0"/>
            <w:vAlign w:val="center"/>
          </w:tcPr>
          <w:p>
            <w:pPr>
              <w:jc w:val="center"/>
              <w:rPr>
                <w:color w:val="auto"/>
                <w:sz w:val="18"/>
                <w:szCs w:val="18"/>
                <w:highlight w:val="none"/>
              </w:rPr>
            </w:pPr>
            <w:r>
              <w:rPr>
                <w:color w:val="auto"/>
                <w:sz w:val="18"/>
                <w:szCs w:val="18"/>
                <w:highlight w:val="none"/>
              </w:rPr>
              <w:t>水体排放</w:t>
            </w:r>
          </w:p>
        </w:tc>
        <w:tc>
          <w:tcPr>
            <w:tcW w:w="1265" w:type="dxa"/>
            <w:tcBorders>
              <w:top w:val="single" w:color="auto" w:sz="4" w:space="0"/>
              <w:bottom w:val="single" w:color="auto" w:sz="4" w:space="0"/>
            </w:tcBorders>
            <w:noWrap w:val="0"/>
            <w:vAlign w:val="center"/>
          </w:tcPr>
          <w:p>
            <w:pPr>
              <w:jc w:val="center"/>
              <w:rPr>
                <w:color w:val="auto"/>
                <w:sz w:val="18"/>
                <w:szCs w:val="18"/>
                <w:highlight w:val="none"/>
              </w:rPr>
            </w:pPr>
            <w:r>
              <w:rPr>
                <w:color w:val="auto"/>
                <w:sz w:val="18"/>
                <w:szCs w:val="18"/>
                <w:highlight w:val="none"/>
              </w:rPr>
              <w:t>水体污染物1</w:t>
            </w:r>
          </w:p>
        </w:tc>
        <w:tc>
          <w:tcPr>
            <w:tcW w:w="1183" w:type="dxa"/>
            <w:tcBorders>
              <w:top w:val="single" w:color="auto" w:sz="4" w:space="0"/>
              <w:bottom w:val="single" w:color="auto" w:sz="4" w:space="0"/>
            </w:tcBorders>
            <w:noWrap w:val="0"/>
            <w:vAlign w:val="center"/>
          </w:tcPr>
          <w:p>
            <w:pPr>
              <w:jc w:val="center"/>
              <w:rPr>
                <w:color w:val="auto"/>
                <w:sz w:val="18"/>
                <w:szCs w:val="18"/>
                <w:highlight w:val="none"/>
              </w:rPr>
            </w:pPr>
          </w:p>
        </w:tc>
        <w:tc>
          <w:tcPr>
            <w:tcW w:w="1183" w:type="dxa"/>
            <w:tcBorders>
              <w:top w:val="single" w:color="auto" w:sz="4" w:space="0"/>
              <w:bottom w:val="single" w:color="auto" w:sz="4" w:space="0"/>
            </w:tcBorders>
            <w:noWrap w:val="0"/>
            <w:vAlign w:val="center"/>
          </w:tcPr>
          <w:p>
            <w:pPr>
              <w:jc w:val="center"/>
              <w:rPr>
                <w:color w:val="auto"/>
                <w:sz w:val="18"/>
                <w:szCs w:val="18"/>
                <w:highlight w:val="none"/>
              </w:rPr>
            </w:pPr>
          </w:p>
        </w:tc>
        <w:tc>
          <w:tcPr>
            <w:tcW w:w="1183" w:type="dxa"/>
            <w:tcBorders>
              <w:top w:val="single" w:color="auto" w:sz="4" w:space="0"/>
              <w:bottom w:val="single" w:color="auto" w:sz="4" w:space="0"/>
            </w:tcBorders>
            <w:noWrap w:val="0"/>
            <w:vAlign w:val="center"/>
          </w:tcPr>
          <w:p>
            <w:pPr>
              <w:jc w:val="center"/>
              <w:rPr>
                <w:color w:val="auto"/>
                <w:sz w:val="18"/>
                <w:szCs w:val="18"/>
                <w:highlight w:val="none"/>
              </w:rPr>
            </w:pPr>
          </w:p>
        </w:tc>
        <w:tc>
          <w:tcPr>
            <w:tcW w:w="1183" w:type="dxa"/>
            <w:tcBorders>
              <w:top w:val="single" w:color="auto" w:sz="4" w:space="0"/>
              <w:bottom w:val="single" w:color="auto" w:sz="4" w:space="0"/>
            </w:tcBorders>
            <w:noWrap w:val="0"/>
            <w:vAlign w:val="center"/>
          </w:tcPr>
          <w:p>
            <w:pPr>
              <w:jc w:val="center"/>
              <w:rPr>
                <w:color w:val="auto"/>
                <w:sz w:val="18"/>
                <w:szCs w:val="18"/>
                <w:highlight w:val="none"/>
              </w:rPr>
            </w:pPr>
          </w:p>
        </w:tc>
        <w:tc>
          <w:tcPr>
            <w:tcW w:w="1184" w:type="dxa"/>
            <w:tcBorders>
              <w:top w:val="single" w:color="auto" w:sz="4" w:space="0"/>
              <w:bottom w:val="single" w:color="auto" w:sz="4" w:space="0"/>
            </w:tcBorders>
            <w:noWrap w:val="0"/>
            <w:vAlign w:val="center"/>
          </w:tcPr>
          <w:p>
            <w:pPr>
              <w:jc w:val="center"/>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101" w:type="dxa"/>
            <w:vMerge w:val="continue"/>
            <w:noWrap w:val="0"/>
            <w:vAlign w:val="center"/>
          </w:tcPr>
          <w:p>
            <w:pPr>
              <w:jc w:val="center"/>
              <w:rPr>
                <w:color w:val="auto"/>
                <w:sz w:val="18"/>
                <w:szCs w:val="18"/>
                <w:highlight w:val="none"/>
              </w:rPr>
            </w:pPr>
          </w:p>
        </w:tc>
        <w:tc>
          <w:tcPr>
            <w:tcW w:w="1265" w:type="dxa"/>
            <w:tcBorders>
              <w:top w:val="single" w:color="auto" w:sz="4" w:space="0"/>
              <w:bottom w:val="single" w:color="auto" w:sz="8" w:space="0"/>
            </w:tcBorders>
            <w:noWrap w:val="0"/>
            <w:vAlign w:val="center"/>
          </w:tcPr>
          <w:p>
            <w:pPr>
              <w:jc w:val="center"/>
              <w:rPr>
                <w:color w:val="auto"/>
                <w:sz w:val="18"/>
                <w:szCs w:val="18"/>
                <w:highlight w:val="none"/>
              </w:rPr>
            </w:pPr>
            <w:r>
              <w:rPr>
                <w:color w:val="auto"/>
                <w:sz w:val="18"/>
                <w:szCs w:val="18"/>
                <w:highlight w:val="none"/>
              </w:rPr>
              <w:t>水体污染物2</w:t>
            </w: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4" w:type="dxa"/>
            <w:tcBorders>
              <w:top w:val="single" w:color="auto" w:sz="4" w:space="0"/>
              <w:bottom w:val="single" w:color="auto" w:sz="8" w:space="0"/>
            </w:tcBorders>
            <w:noWrap w:val="0"/>
            <w:vAlign w:val="center"/>
          </w:tcPr>
          <w:p>
            <w:pPr>
              <w:jc w:val="center"/>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101" w:type="dxa"/>
            <w:vMerge w:val="continue"/>
            <w:tcBorders>
              <w:bottom w:val="single" w:color="auto" w:sz="8" w:space="0"/>
            </w:tcBorders>
            <w:noWrap w:val="0"/>
            <w:vAlign w:val="center"/>
          </w:tcPr>
          <w:p>
            <w:pPr>
              <w:jc w:val="center"/>
              <w:rPr>
                <w:color w:val="auto"/>
                <w:sz w:val="18"/>
                <w:szCs w:val="18"/>
                <w:highlight w:val="none"/>
              </w:rPr>
            </w:pPr>
          </w:p>
        </w:tc>
        <w:tc>
          <w:tcPr>
            <w:tcW w:w="1265" w:type="dxa"/>
            <w:tcBorders>
              <w:top w:val="single" w:color="auto" w:sz="4" w:space="0"/>
              <w:bottom w:val="single" w:color="auto" w:sz="8" w:space="0"/>
            </w:tcBorders>
            <w:noWrap w:val="0"/>
            <w:vAlign w:val="center"/>
          </w:tcPr>
          <w:p>
            <w:pPr>
              <w:rPr>
                <w:color w:val="auto"/>
                <w:sz w:val="18"/>
                <w:szCs w:val="18"/>
                <w:highlight w:val="none"/>
              </w:rPr>
            </w:pPr>
            <w:r>
              <w:rPr>
                <w:color w:val="auto"/>
                <w:sz w:val="18"/>
                <w:szCs w:val="18"/>
                <w:highlight w:val="none"/>
              </w:rPr>
              <w:t>其他：</w:t>
            </w:r>
            <w:r>
              <w:rPr>
                <w:color w:val="auto"/>
                <w:sz w:val="18"/>
                <w:szCs w:val="18"/>
                <w:highlight w:val="none"/>
                <w:u w:val="single"/>
              </w:rPr>
              <w:t xml:space="preserve">     </w:t>
            </w: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4" w:type="dxa"/>
            <w:tcBorders>
              <w:top w:val="single" w:color="auto" w:sz="4" w:space="0"/>
              <w:bottom w:val="single" w:color="auto" w:sz="8" w:space="0"/>
            </w:tcBorders>
            <w:noWrap w:val="0"/>
            <w:vAlign w:val="center"/>
          </w:tcPr>
          <w:p>
            <w:pPr>
              <w:jc w:val="center"/>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101" w:type="dxa"/>
            <w:vMerge w:val="restart"/>
            <w:tcBorders>
              <w:top w:val="single" w:color="auto" w:sz="4" w:space="0"/>
            </w:tcBorders>
            <w:noWrap w:val="0"/>
            <w:vAlign w:val="center"/>
          </w:tcPr>
          <w:p>
            <w:pPr>
              <w:jc w:val="center"/>
              <w:rPr>
                <w:color w:val="auto"/>
                <w:sz w:val="18"/>
                <w:szCs w:val="18"/>
                <w:highlight w:val="none"/>
              </w:rPr>
            </w:pPr>
            <w:r>
              <w:rPr>
                <w:color w:val="auto"/>
                <w:sz w:val="18"/>
                <w:szCs w:val="18"/>
                <w:highlight w:val="none"/>
              </w:rPr>
              <w:t>土壤排放</w:t>
            </w:r>
          </w:p>
        </w:tc>
        <w:tc>
          <w:tcPr>
            <w:tcW w:w="1265" w:type="dxa"/>
            <w:tcBorders>
              <w:top w:val="single" w:color="auto" w:sz="4" w:space="0"/>
              <w:bottom w:val="single" w:color="auto" w:sz="8" w:space="0"/>
            </w:tcBorders>
            <w:noWrap w:val="0"/>
            <w:vAlign w:val="center"/>
          </w:tcPr>
          <w:p>
            <w:pPr>
              <w:jc w:val="center"/>
              <w:rPr>
                <w:color w:val="auto"/>
                <w:sz w:val="18"/>
                <w:szCs w:val="18"/>
                <w:highlight w:val="none"/>
              </w:rPr>
            </w:pPr>
            <w:r>
              <w:rPr>
                <w:color w:val="auto"/>
                <w:sz w:val="18"/>
                <w:szCs w:val="18"/>
                <w:highlight w:val="none"/>
              </w:rPr>
              <w:t>土壤污染物1</w:t>
            </w: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4" w:type="dxa"/>
            <w:tcBorders>
              <w:top w:val="single" w:color="auto" w:sz="4" w:space="0"/>
              <w:bottom w:val="single" w:color="auto" w:sz="8" w:space="0"/>
            </w:tcBorders>
            <w:noWrap w:val="0"/>
            <w:vAlign w:val="center"/>
          </w:tcPr>
          <w:p>
            <w:pPr>
              <w:jc w:val="center"/>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101" w:type="dxa"/>
            <w:vMerge w:val="continue"/>
            <w:noWrap w:val="0"/>
            <w:vAlign w:val="center"/>
          </w:tcPr>
          <w:p>
            <w:pPr>
              <w:jc w:val="center"/>
              <w:rPr>
                <w:color w:val="auto"/>
                <w:sz w:val="18"/>
                <w:szCs w:val="18"/>
                <w:highlight w:val="none"/>
              </w:rPr>
            </w:pPr>
          </w:p>
        </w:tc>
        <w:tc>
          <w:tcPr>
            <w:tcW w:w="1265" w:type="dxa"/>
            <w:tcBorders>
              <w:top w:val="single" w:color="auto" w:sz="4" w:space="0"/>
              <w:bottom w:val="single" w:color="auto" w:sz="8" w:space="0"/>
            </w:tcBorders>
            <w:noWrap w:val="0"/>
            <w:vAlign w:val="center"/>
          </w:tcPr>
          <w:p>
            <w:pPr>
              <w:jc w:val="center"/>
              <w:rPr>
                <w:color w:val="auto"/>
                <w:sz w:val="18"/>
                <w:szCs w:val="18"/>
                <w:highlight w:val="none"/>
              </w:rPr>
            </w:pPr>
            <w:r>
              <w:rPr>
                <w:color w:val="auto"/>
                <w:sz w:val="18"/>
                <w:szCs w:val="18"/>
                <w:highlight w:val="none"/>
              </w:rPr>
              <w:t>土壤污染物2</w:t>
            </w: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4" w:type="dxa"/>
            <w:tcBorders>
              <w:top w:val="single" w:color="auto" w:sz="4" w:space="0"/>
              <w:bottom w:val="single" w:color="auto" w:sz="8" w:space="0"/>
            </w:tcBorders>
            <w:noWrap w:val="0"/>
            <w:vAlign w:val="center"/>
          </w:tcPr>
          <w:p>
            <w:pPr>
              <w:jc w:val="center"/>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101" w:type="dxa"/>
            <w:vMerge w:val="continue"/>
            <w:tcBorders>
              <w:bottom w:val="single" w:color="auto" w:sz="4" w:space="0"/>
            </w:tcBorders>
            <w:noWrap w:val="0"/>
            <w:vAlign w:val="center"/>
          </w:tcPr>
          <w:p>
            <w:pPr>
              <w:jc w:val="center"/>
              <w:rPr>
                <w:color w:val="auto"/>
                <w:sz w:val="18"/>
                <w:szCs w:val="18"/>
                <w:highlight w:val="none"/>
              </w:rPr>
            </w:pPr>
          </w:p>
        </w:tc>
        <w:tc>
          <w:tcPr>
            <w:tcW w:w="1265" w:type="dxa"/>
            <w:tcBorders>
              <w:top w:val="single" w:color="auto" w:sz="4" w:space="0"/>
              <w:bottom w:val="single" w:color="auto" w:sz="4" w:space="0"/>
            </w:tcBorders>
            <w:noWrap w:val="0"/>
            <w:vAlign w:val="center"/>
          </w:tcPr>
          <w:p>
            <w:pPr>
              <w:rPr>
                <w:color w:val="auto"/>
                <w:sz w:val="18"/>
                <w:szCs w:val="18"/>
                <w:highlight w:val="none"/>
              </w:rPr>
            </w:pPr>
            <w:r>
              <w:rPr>
                <w:color w:val="auto"/>
                <w:sz w:val="18"/>
                <w:szCs w:val="18"/>
                <w:highlight w:val="none"/>
              </w:rPr>
              <w:t>其他：</w:t>
            </w:r>
            <w:r>
              <w:rPr>
                <w:color w:val="auto"/>
                <w:sz w:val="18"/>
                <w:szCs w:val="18"/>
                <w:highlight w:val="none"/>
                <w:u w:val="single"/>
              </w:rPr>
              <w:t xml:space="preserve">     </w:t>
            </w:r>
          </w:p>
        </w:tc>
        <w:tc>
          <w:tcPr>
            <w:tcW w:w="1183" w:type="dxa"/>
            <w:tcBorders>
              <w:top w:val="single" w:color="auto" w:sz="4" w:space="0"/>
              <w:bottom w:val="single" w:color="auto" w:sz="4" w:space="0"/>
            </w:tcBorders>
            <w:noWrap w:val="0"/>
            <w:vAlign w:val="center"/>
          </w:tcPr>
          <w:p>
            <w:pPr>
              <w:jc w:val="center"/>
              <w:rPr>
                <w:color w:val="auto"/>
                <w:sz w:val="18"/>
                <w:szCs w:val="18"/>
                <w:highlight w:val="none"/>
              </w:rPr>
            </w:pPr>
          </w:p>
        </w:tc>
        <w:tc>
          <w:tcPr>
            <w:tcW w:w="1183" w:type="dxa"/>
            <w:tcBorders>
              <w:top w:val="single" w:color="auto" w:sz="4" w:space="0"/>
              <w:bottom w:val="single" w:color="auto" w:sz="4" w:space="0"/>
            </w:tcBorders>
            <w:noWrap w:val="0"/>
            <w:vAlign w:val="center"/>
          </w:tcPr>
          <w:p>
            <w:pPr>
              <w:jc w:val="center"/>
              <w:rPr>
                <w:color w:val="auto"/>
                <w:sz w:val="18"/>
                <w:szCs w:val="18"/>
                <w:highlight w:val="none"/>
              </w:rPr>
            </w:pPr>
          </w:p>
        </w:tc>
        <w:tc>
          <w:tcPr>
            <w:tcW w:w="1183" w:type="dxa"/>
            <w:tcBorders>
              <w:top w:val="single" w:color="auto" w:sz="4" w:space="0"/>
              <w:bottom w:val="single" w:color="auto" w:sz="4" w:space="0"/>
            </w:tcBorders>
            <w:noWrap w:val="0"/>
            <w:vAlign w:val="center"/>
          </w:tcPr>
          <w:p>
            <w:pPr>
              <w:jc w:val="center"/>
              <w:rPr>
                <w:color w:val="auto"/>
                <w:sz w:val="18"/>
                <w:szCs w:val="18"/>
                <w:highlight w:val="none"/>
              </w:rPr>
            </w:pPr>
          </w:p>
        </w:tc>
        <w:tc>
          <w:tcPr>
            <w:tcW w:w="1183" w:type="dxa"/>
            <w:tcBorders>
              <w:top w:val="single" w:color="auto" w:sz="4" w:space="0"/>
              <w:bottom w:val="single" w:color="auto" w:sz="4" w:space="0"/>
            </w:tcBorders>
            <w:noWrap w:val="0"/>
            <w:vAlign w:val="center"/>
          </w:tcPr>
          <w:p>
            <w:pPr>
              <w:jc w:val="center"/>
              <w:rPr>
                <w:color w:val="auto"/>
                <w:sz w:val="18"/>
                <w:szCs w:val="18"/>
                <w:highlight w:val="none"/>
              </w:rPr>
            </w:pPr>
          </w:p>
        </w:tc>
        <w:tc>
          <w:tcPr>
            <w:tcW w:w="1184" w:type="dxa"/>
            <w:tcBorders>
              <w:top w:val="single" w:color="auto" w:sz="4" w:space="0"/>
              <w:bottom w:val="single" w:color="auto" w:sz="4" w:space="0"/>
            </w:tcBorders>
            <w:noWrap w:val="0"/>
            <w:vAlign w:val="center"/>
          </w:tcPr>
          <w:p>
            <w:pPr>
              <w:jc w:val="center"/>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101" w:type="dxa"/>
            <w:tcBorders>
              <w:top w:val="single" w:color="auto" w:sz="4" w:space="0"/>
              <w:bottom w:val="single" w:color="auto" w:sz="8" w:space="0"/>
            </w:tcBorders>
            <w:noWrap w:val="0"/>
            <w:vAlign w:val="center"/>
          </w:tcPr>
          <w:p>
            <w:pPr>
              <w:rPr>
                <w:color w:val="auto"/>
                <w:sz w:val="18"/>
                <w:szCs w:val="18"/>
                <w:highlight w:val="none"/>
              </w:rPr>
            </w:pPr>
            <w:r>
              <w:rPr>
                <w:color w:val="auto"/>
                <w:sz w:val="18"/>
                <w:szCs w:val="18"/>
                <w:highlight w:val="none"/>
              </w:rPr>
              <w:t>其他：</w:t>
            </w:r>
            <w:r>
              <w:rPr>
                <w:color w:val="auto"/>
                <w:sz w:val="18"/>
                <w:szCs w:val="18"/>
                <w:highlight w:val="none"/>
                <w:u w:val="single"/>
              </w:rPr>
              <w:t xml:space="preserve">     </w:t>
            </w:r>
          </w:p>
        </w:tc>
        <w:tc>
          <w:tcPr>
            <w:tcW w:w="1265" w:type="dxa"/>
            <w:tcBorders>
              <w:top w:val="single" w:color="auto" w:sz="4" w:space="0"/>
              <w:bottom w:val="single" w:color="auto" w:sz="8" w:space="0"/>
            </w:tcBorders>
            <w:noWrap w:val="0"/>
            <w:vAlign w:val="center"/>
          </w:tcPr>
          <w:p>
            <w:pPr>
              <w:rPr>
                <w:color w:val="auto"/>
                <w:sz w:val="18"/>
                <w:szCs w:val="18"/>
                <w:highlight w:val="none"/>
              </w:rPr>
            </w:pPr>
            <w:r>
              <w:rPr>
                <w:color w:val="auto"/>
                <w:sz w:val="18"/>
                <w:szCs w:val="18"/>
                <w:highlight w:val="none"/>
              </w:rPr>
              <w:t>其他：</w:t>
            </w:r>
            <w:r>
              <w:rPr>
                <w:color w:val="auto"/>
                <w:sz w:val="18"/>
                <w:szCs w:val="18"/>
                <w:highlight w:val="none"/>
                <w:u w:val="single"/>
              </w:rPr>
              <w:t xml:space="preserve">     </w:t>
            </w: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3" w:type="dxa"/>
            <w:tcBorders>
              <w:top w:val="single" w:color="auto" w:sz="4" w:space="0"/>
              <w:bottom w:val="single" w:color="auto" w:sz="8" w:space="0"/>
            </w:tcBorders>
            <w:noWrap w:val="0"/>
            <w:vAlign w:val="center"/>
          </w:tcPr>
          <w:p>
            <w:pPr>
              <w:jc w:val="center"/>
              <w:rPr>
                <w:color w:val="auto"/>
                <w:sz w:val="18"/>
                <w:szCs w:val="18"/>
                <w:highlight w:val="none"/>
              </w:rPr>
            </w:pPr>
          </w:p>
        </w:tc>
        <w:tc>
          <w:tcPr>
            <w:tcW w:w="1184" w:type="dxa"/>
            <w:tcBorders>
              <w:top w:val="single" w:color="auto" w:sz="4" w:space="0"/>
              <w:bottom w:val="single" w:color="auto" w:sz="8" w:space="0"/>
            </w:tcBorders>
            <w:noWrap w:val="0"/>
            <w:vAlign w:val="center"/>
          </w:tcPr>
          <w:p>
            <w:pPr>
              <w:jc w:val="center"/>
              <w:rPr>
                <w:color w:val="auto"/>
                <w:sz w:val="18"/>
                <w:szCs w:val="18"/>
                <w:highlight w:val="none"/>
              </w:rPr>
            </w:pPr>
          </w:p>
        </w:tc>
      </w:tr>
      <w:bookmarkEnd w:id="58"/>
    </w:tbl>
    <w:p>
      <w:pPr>
        <w:pStyle w:val="33"/>
        <w:spacing w:before="156" w:after="156" w:line="500" w:lineRule="exact"/>
        <w:rPr>
          <w:szCs w:val="24"/>
        </w:rPr>
      </w:pPr>
      <w:bookmarkStart w:id="59" w:name="_Toc66714174"/>
      <w:bookmarkStart w:id="60" w:name="_Toc36132047"/>
      <w:r>
        <w:rPr>
          <w:rFonts w:hint="eastAsia"/>
          <w:szCs w:val="24"/>
        </w:rPr>
        <w:t>四、主要验证情况分析</w:t>
      </w:r>
      <w:bookmarkEnd w:id="59"/>
    </w:p>
    <w:p>
      <w:pPr>
        <w:spacing w:line="500" w:lineRule="exact"/>
        <w:ind w:firstLine="480" w:firstLineChars="200"/>
        <w:rPr>
          <w:sz w:val="24"/>
        </w:rPr>
      </w:pPr>
      <w:r>
        <w:rPr>
          <w:rFonts w:hint="eastAsia"/>
          <w:sz w:val="24"/>
        </w:rPr>
        <w:t>本标准通过企业的实际考察、验证，确定可以用于</w:t>
      </w:r>
      <w:r>
        <w:rPr>
          <w:rFonts w:hint="eastAsia"/>
          <w:sz w:val="24"/>
          <w:lang w:eastAsia="zh-CN"/>
        </w:rPr>
        <w:t>镁碳砖</w:t>
      </w:r>
      <w:r>
        <w:rPr>
          <w:rFonts w:hint="eastAsia"/>
          <w:sz w:val="24"/>
        </w:rPr>
        <w:t>绿色设计产品评价，并且能够体现出产品资源、能源、环境、产品四方面在绿色设计与生产方面的优越性。同时结合产品生命周期评价验证，更好分析出了各企业</w:t>
      </w:r>
      <w:r>
        <w:rPr>
          <w:rFonts w:hint="eastAsia"/>
          <w:sz w:val="24"/>
          <w:lang w:eastAsia="zh-CN"/>
        </w:rPr>
        <w:t>镁碳砖</w:t>
      </w:r>
      <w:r>
        <w:rPr>
          <w:rFonts w:hint="eastAsia"/>
          <w:sz w:val="24"/>
        </w:rPr>
        <w:t>各方面环境影响的优劣势。</w:t>
      </w:r>
    </w:p>
    <w:p>
      <w:pPr>
        <w:spacing w:line="500" w:lineRule="exact"/>
        <w:ind w:firstLine="480" w:firstLineChars="200"/>
        <w:rPr>
          <w:sz w:val="24"/>
        </w:rPr>
      </w:pPr>
      <w:r>
        <w:rPr>
          <w:rFonts w:hint="eastAsia"/>
          <w:sz w:val="24"/>
        </w:rPr>
        <w:t>依据本标准进行的</w:t>
      </w:r>
      <w:r>
        <w:rPr>
          <w:rFonts w:hint="eastAsia"/>
          <w:sz w:val="24"/>
          <w:lang w:eastAsia="zh-CN"/>
        </w:rPr>
        <w:t>镁碳砖</w:t>
      </w:r>
      <w:r>
        <w:rPr>
          <w:rFonts w:hint="eastAsia"/>
          <w:sz w:val="24"/>
        </w:rPr>
        <w:t>绿色设计产品的评价活动，可以结合产品资源、能源、环境、产品四属性，系统的评价企业</w:t>
      </w:r>
      <w:r>
        <w:rPr>
          <w:rFonts w:hint="eastAsia"/>
          <w:sz w:val="24"/>
          <w:lang w:eastAsia="zh-CN"/>
        </w:rPr>
        <w:t>镁碳砖</w:t>
      </w:r>
      <w:r>
        <w:rPr>
          <w:rFonts w:hint="eastAsia"/>
          <w:sz w:val="24"/>
        </w:rPr>
        <w:t>产品绿色设计与生产水平，推动企业绿色发展，进而有利于推动我国耐火材料行业绿色低碳发展。</w:t>
      </w:r>
    </w:p>
    <w:p>
      <w:pPr>
        <w:spacing w:line="500" w:lineRule="exact"/>
        <w:ind w:firstLine="480" w:firstLineChars="200"/>
        <w:rPr>
          <w:sz w:val="24"/>
        </w:rPr>
      </w:pPr>
      <w:r>
        <w:rPr>
          <w:rFonts w:hint="eastAsia"/>
          <w:sz w:val="24"/>
        </w:rPr>
        <w:t>本标准选取</w:t>
      </w:r>
      <w:r>
        <w:rPr>
          <w:rFonts w:hint="eastAsia"/>
          <w:sz w:val="24"/>
          <w:lang w:val="en-US" w:eastAsia="zh-CN"/>
        </w:rPr>
        <w:t>7</w:t>
      </w:r>
      <w:r>
        <w:rPr>
          <w:rFonts w:hint="eastAsia"/>
          <w:sz w:val="24"/>
        </w:rPr>
        <w:t>家</w:t>
      </w:r>
      <w:r>
        <w:rPr>
          <w:rFonts w:hint="eastAsia"/>
          <w:sz w:val="24"/>
          <w:lang w:val="en-US" w:eastAsia="zh-CN"/>
        </w:rPr>
        <w:t>行业领先的</w:t>
      </w:r>
      <w:r>
        <w:rPr>
          <w:rFonts w:hint="eastAsia"/>
          <w:sz w:val="24"/>
        </w:rPr>
        <w:t>典型生产企业对标准的</w:t>
      </w:r>
      <w:r>
        <w:rPr>
          <w:rFonts w:hint="eastAsia"/>
          <w:sz w:val="24"/>
          <w:lang w:val="en-US" w:eastAsia="zh-CN"/>
        </w:rPr>
        <w:t>基本要求、</w:t>
      </w:r>
      <w:r>
        <w:rPr>
          <w:rFonts w:hint="eastAsia"/>
          <w:sz w:val="24"/>
        </w:rPr>
        <w:t>资源属性、能源属性、环境属性和产品属性具体参数进行评价验证了标准的适用性、合理性、科学性。</w:t>
      </w:r>
    </w:p>
    <w:p>
      <w:pPr>
        <w:spacing w:line="500" w:lineRule="exact"/>
        <w:ind w:firstLine="480" w:firstLineChars="200"/>
        <w:rPr>
          <w:sz w:val="24"/>
        </w:rPr>
      </w:pPr>
      <w:r>
        <w:rPr>
          <w:sz w:val="24"/>
        </w:rPr>
        <w:t>本标准中选取</w:t>
      </w:r>
      <w:r>
        <w:rPr>
          <w:rFonts w:hint="eastAsia"/>
          <w:sz w:val="24"/>
          <w:lang w:val="en-US" w:eastAsia="zh-CN"/>
        </w:rPr>
        <w:t>7</w:t>
      </w:r>
      <w:r>
        <w:rPr>
          <w:sz w:val="24"/>
        </w:rPr>
        <w:t>家企业对</w:t>
      </w:r>
      <w:r>
        <w:rPr>
          <w:rFonts w:hint="eastAsia"/>
          <w:sz w:val="24"/>
        </w:rPr>
        <w:t>基本要求，产品的</w:t>
      </w:r>
      <w:r>
        <w:rPr>
          <w:sz w:val="24"/>
        </w:rPr>
        <w:t>资源属性、能源属性、环境属性和产品属性进行评价，达标情况如下表所示：</w:t>
      </w:r>
    </w:p>
    <w:p>
      <w:pPr>
        <w:spacing w:line="360" w:lineRule="auto"/>
        <w:jc w:val="center"/>
        <w:rPr>
          <w:color w:val="000000"/>
          <w:spacing w:val="-4"/>
          <w:sz w:val="24"/>
        </w:rPr>
      </w:pPr>
      <w:r>
        <w:rPr>
          <w:color w:val="000000"/>
          <w:spacing w:val="-4"/>
          <w:sz w:val="24"/>
        </w:rPr>
        <w:t>表4-1 企业基本要求符合情况</w:t>
      </w:r>
    </w:p>
    <w:tbl>
      <w:tblPr>
        <w:tblStyle w:val="24"/>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6"/>
        <w:gridCol w:w="1023"/>
        <w:gridCol w:w="964"/>
        <w:gridCol w:w="1095"/>
        <w:gridCol w:w="1059"/>
        <w:gridCol w:w="995"/>
        <w:gridCol w:w="966"/>
        <w:gridCol w:w="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756" w:type="dxa"/>
            <w:shd w:val="clear" w:color="auto" w:fill="auto"/>
            <w:vAlign w:val="center"/>
          </w:tcPr>
          <w:p>
            <w:pPr>
              <w:jc w:val="center"/>
              <w:rPr>
                <w:color w:val="000000"/>
                <w:spacing w:val="-4"/>
                <w:sz w:val="21"/>
                <w:szCs w:val="21"/>
              </w:rPr>
            </w:pPr>
            <w:r>
              <w:rPr>
                <w:color w:val="000000"/>
                <w:spacing w:val="-4"/>
                <w:sz w:val="21"/>
                <w:szCs w:val="21"/>
              </w:rPr>
              <w:t>基本要求条款</w:t>
            </w:r>
          </w:p>
        </w:tc>
        <w:tc>
          <w:tcPr>
            <w:tcW w:w="1023" w:type="dxa"/>
            <w:shd w:val="clear" w:color="auto" w:fill="auto"/>
            <w:vAlign w:val="center"/>
          </w:tcPr>
          <w:p>
            <w:pPr>
              <w:jc w:val="center"/>
              <w:rPr>
                <w:rFonts w:hint="default" w:eastAsia="宋体"/>
                <w:color w:val="000000"/>
                <w:spacing w:val="-4"/>
                <w:sz w:val="21"/>
                <w:szCs w:val="21"/>
                <w:lang w:val="en-US" w:eastAsia="zh-CN"/>
              </w:rPr>
            </w:pPr>
            <w:r>
              <w:rPr>
                <w:rFonts w:hint="eastAsia"/>
                <w:color w:val="000000"/>
                <w:spacing w:val="-4"/>
                <w:sz w:val="21"/>
                <w:szCs w:val="21"/>
                <w:lang w:val="en-US" w:eastAsia="zh-CN"/>
              </w:rPr>
              <w:t>企业A</w:t>
            </w:r>
          </w:p>
        </w:tc>
        <w:tc>
          <w:tcPr>
            <w:tcW w:w="964" w:type="dxa"/>
            <w:shd w:val="clear" w:color="auto" w:fill="auto"/>
            <w:vAlign w:val="center"/>
          </w:tcPr>
          <w:p>
            <w:pPr>
              <w:jc w:val="center"/>
              <w:rPr>
                <w:rFonts w:hint="default"/>
                <w:color w:val="000000"/>
                <w:spacing w:val="-4"/>
                <w:sz w:val="21"/>
                <w:szCs w:val="21"/>
                <w:lang w:val="en-US"/>
              </w:rPr>
            </w:pPr>
            <w:r>
              <w:rPr>
                <w:rFonts w:hint="eastAsia"/>
                <w:color w:val="000000"/>
                <w:spacing w:val="-4"/>
                <w:sz w:val="21"/>
                <w:szCs w:val="21"/>
                <w:lang w:val="en-US" w:eastAsia="zh-CN"/>
              </w:rPr>
              <w:t>企业B</w:t>
            </w:r>
          </w:p>
        </w:tc>
        <w:tc>
          <w:tcPr>
            <w:tcW w:w="1095" w:type="dxa"/>
            <w:shd w:val="clear" w:color="auto" w:fill="auto"/>
            <w:vAlign w:val="center"/>
          </w:tcPr>
          <w:p>
            <w:pPr>
              <w:jc w:val="center"/>
              <w:rPr>
                <w:rFonts w:hint="default"/>
                <w:color w:val="000000"/>
                <w:spacing w:val="-4"/>
                <w:sz w:val="21"/>
                <w:szCs w:val="21"/>
                <w:lang w:val="en-US"/>
              </w:rPr>
            </w:pPr>
            <w:r>
              <w:rPr>
                <w:rFonts w:hint="eastAsia"/>
                <w:color w:val="000000"/>
                <w:spacing w:val="-4"/>
                <w:sz w:val="21"/>
                <w:szCs w:val="21"/>
                <w:lang w:val="en-US" w:eastAsia="zh-CN"/>
              </w:rPr>
              <w:t>企业C</w:t>
            </w:r>
          </w:p>
        </w:tc>
        <w:tc>
          <w:tcPr>
            <w:tcW w:w="1059" w:type="dxa"/>
            <w:shd w:val="clear" w:color="auto" w:fill="auto"/>
            <w:vAlign w:val="center"/>
          </w:tcPr>
          <w:p>
            <w:pPr>
              <w:jc w:val="center"/>
              <w:rPr>
                <w:rFonts w:hint="default" w:eastAsia="宋体"/>
                <w:color w:val="000000"/>
                <w:spacing w:val="-4"/>
                <w:sz w:val="21"/>
                <w:szCs w:val="21"/>
                <w:lang w:val="en-US" w:eastAsia="zh-CN"/>
              </w:rPr>
            </w:pPr>
            <w:r>
              <w:rPr>
                <w:rFonts w:hint="eastAsia"/>
                <w:color w:val="000000"/>
                <w:spacing w:val="-4"/>
                <w:sz w:val="21"/>
                <w:szCs w:val="21"/>
                <w:lang w:val="en-US" w:eastAsia="zh-CN"/>
              </w:rPr>
              <w:t>企业D</w:t>
            </w:r>
          </w:p>
        </w:tc>
        <w:tc>
          <w:tcPr>
            <w:tcW w:w="995" w:type="dxa"/>
            <w:shd w:val="clear" w:color="auto" w:fill="auto"/>
            <w:vAlign w:val="center"/>
          </w:tcPr>
          <w:p>
            <w:pPr>
              <w:jc w:val="center"/>
              <w:rPr>
                <w:rFonts w:hint="default" w:eastAsia="宋体"/>
                <w:color w:val="000000"/>
                <w:spacing w:val="-4"/>
                <w:sz w:val="21"/>
                <w:szCs w:val="21"/>
                <w:lang w:val="en-US" w:eastAsia="zh-CN"/>
              </w:rPr>
            </w:pPr>
            <w:r>
              <w:rPr>
                <w:rFonts w:hint="eastAsia"/>
                <w:color w:val="000000"/>
                <w:spacing w:val="-4"/>
                <w:sz w:val="21"/>
                <w:szCs w:val="21"/>
                <w:lang w:val="en-US" w:eastAsia="zh-CN"/>
              </w:rPr>
              <w:t>企业E</w:t>
            </w:r>
          </w:p>
        </w:tc>
        <w:tc>
          <w:tcPr>
            <w:tcW w:w="966" w:type="dxa"/>
            <w:shd w:val="clear" w:color="auto" w:fill="auto"/>
            <w:vAlign w:val="center"/>
          </w:tcPr>
          <w:p>
            <w:pPr>
              <w:jc w:val="center"/>
              <w:rPr>
                <w:rFonts w:hint="default"/>
                <w:color w:val="000000"/>
                <w:spacing w:val="-4"/>
                <w:sz w:val="21"/>
                <w:szCs w:val="21"/>
                <w:lang w:val="en-US"/>
              </w:rPr>
            </w:pPr>
            <w:r>
              <w:rPr>
                <w:rFonts w:hint="eastAsia"/>
                <w:color w:val="000000"/>
                <w:spacing w:val="-4"/>
                <w:sz w:val="21"/>
                <w:szCs w:val="21"/>
                <w:lang w:val="en-US" w:eastAsia="zh-CN"/>
              </w:rPr>
              <w:t>企业F</w:t>
            </w:r>
          </w:p>
        </w:tc>
        <w:tc>
          <w:tcPr>
            <w:tcW w:w="957" w:type="dxa"/>
            <w:shd w:val="clear" w:color="auto" w:fill="auto"/>
            <w:vAlign w:val="center"/>
          </w:tcPr>
          <w:p>
            <w:pPr>
              <w:jc w:val="center"/>
              <w:rPr>
                <w:rFonts w:hint="default"/>
                <w:color w:val="000000"/>
                <w:spacing w:val="-4"/>
                <w:sz w:val="21"/>
                <w:szCs w:val="21"/>
                <w:lang w:val="en-US"/>
              </w:rPr>
            </w:pPr>
            <w:r>
              <w:rPr>
                <w:rFonts w:hint="eastAsia"/>
                <w:color w:val="000000"/>
                <w:spacing w:val="-4"/>
                <w:sz w:val="21"/>
                <w:szCs w:val="21"/>
                <w:lang w:val="en-US" w:eastAsia="zh-CN"/>
              </w:rPr>
              <w:t>企业G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756" w:type="dxa"/>
            <w:shd w:val="clear" w:color="auto" w:fill="auto"/>
            <w:vAlign w:val="center"/>
          </w:tcPr>
          <w:p>
            <w:pPr>
              <w:jc w:val="center"/>
              <w:rPr>
                <w:color w:val="000000"/>
                <w:spacing w:val="-4"/>
                <w:sz w:val="21"/>
                <w:szCs w:val="21"/>
              </w:rPr>
            </w:pPr>
            <w:r>
              <w:rPr>
                <w:color w:val="000000"/>
                <w:spacing w:val="-4"/>
                <w:sz w:val="21"/>
                <w:szCs w:val="21"/>
              </w:rPr>
              <w:t>5.1.1</w:t>
            </w:r>
          </w:p>
        </w:tc>
        <w:tc>
          <w:tcPr>
            <w:tcW w:w="1023" w:type="dxa"/>
            <w:shd w:val="clear" w:color="auto" w:fill="auto"/>
            <w:vAlign w:val="center"/>
          </w:tcPr>
          <w:p>
            <w:pPr>
              <w:jc w:val="center"/>
              <w:rPr>
                <w:color w:val="000000"/>
                <w:spacing w:val="-4"/>
                <w:sz w:val="21"/>
                <w:szCs w:val="21"/>
              </w:rPr>
            </w:pPr>
            <w:r>
              <w:rPr>
                <w:color w:val="000000"/>
                <w:spacing w:val="-4"/>
                <w:sz w:val="21"/>
                <w:szCs w:val="21"/>
              </w:rPr>
              <w:t>符合</w:t>
            </w:r>
          </w:p>
        </w:tc>
        <w:tc>
          <w:tcPr>
            <w:tcW w:w="964" w:type="dxa"/>
            <w:shd w:val="clear" w:color="auto" w:fill="auto"/>
            <w:vAlign w:val="center"/>
          </w:tcPr>
          <w:p>
            <w:pPr>
              <w:jc w:val="center"/>
              <w:rPr>
                <w:color w:val="000000"/>
                <w:spacing w:val="-4"/>
                <w:sz w:val="21"/>
                <w:szCs w:val="21"/>
              </w:rPr>
            </w:pPr>
            <w:r>
              <w:rPr>
                <w:color w:val="000000"/>
                <w:spacing w:val="-4"/>
                <w:sz w:val="21"/>
                <w:szCs w:val="21"/>
              </w:rPr>
              <w:t>符合</w:t>
            </w:r>
          </w:p>
        </w:tc>
        <w:tc>
          <w:tcPr>
            <w:tcW w:w="1095" w:type="dxa"/>
            <w:shd w:val="clear" w:color="auto" w:fill="auto"/>
            <w:vAlign w:val="center"/>
          </w:tcPr>
          <w:p>
            <w:pPr>
              <w:jc w:val="center"/>
              <w:rPr>
                <w:color w:val="000000"/>
                <w:spacing w:val="-4"/>
                <w:sz w:val="21"/>
                <w:szCs w:val="21"/>
              </w:rPr>
            </w:pPr>
            <w:r>
              <w:rPr>
                <w:color w:val="000000"/>
                <w:spacing w:val="-4"/>
                <w:sz w:val="21"/>
                <w:szCs w:val="21"/>
              </w:rPr>
              <w:t>符合</w:t>
            </w:r>
          </w:p>
        </w:tc>
        <w:tc>
          <w:tcPr>
            <w:tcW w:w="1059" w:type="dxa"/>
            <w:shd w:val="clear" w:color="auto" w:fill="auto"/>
            <w:vAlign w:val="center"/>
          </w:tcPr>
          <w:p>
            <w:pPr>
              <w:jc w:val="center"/>
              <w:rPr>
                <w:color w:val="000000"/>
                <w:spacing w:val="-4"/>
                <w:sz w:val="21"/>
                <w:szCs w:val="21"/>
              </w:rPr>
            </w:pPr>
            <w:r>
              <w:rPr>
                <w:color w:val="000000"/>
                <w:spacing w:val="-4"/>
                <w:sz w:val="21"/>
                <w:szCs w:val="21"/>
              </w:rPr>
              <w:t>符合</w:t>
            </w:r>
          </w:p>
        </w:tc>
        <w:tc>
          <w:tcPr>
            <w:tcW w:w="995" w:type="dxa"/>
            <w:shd w:val="clear" w:color="auto" w:fill="auto"/>
            <w:vAlign w:val="center"/>
          </w:tcPr>
          <w:p>
            <w:pPr>
              <w:jc w:val="center"/>
              <w:rPr>
                <w:color w:val="000000"/>
                <w:spacing w:val="-4"/>
                <w:sz w:val="21"/>
                <w:szCs w:val="21"/>
              </w:rPr>
            </w:pPr>
            <w:r>
              <w:rPr>
                <w:color w:val="000000"/>
                <w:spacing w:val="-4"/>
                <w:sz w:val="21"/>
                <w:szCs w:val="21"/>
              </w:rPr>
              <w:t>符合</w:t>
            </w:r>
          </w:p>
        </w:tc>
        <w:tc>
          <w:tcPr>
            <w:tcW w:w="966" w:type="dxa"/>
            <w:shd w:val="clear" w:color="auto" w:fill="auto"/>
            <w:vAlign w:val="center"/>
          </w:tcPr>
          <w:p>
            <w:pPr>
              <w:jc w:val="center"/>
              <w:rPr>
                <w:color w:val="000000"/>
                <w:spacing w:val="-4"/>
                <w:sz w:val="21"/>
                <w:szCs w:val="21"/>
              </w:rPr>
            </w:pPr>
            <w:r>
              <w:rPr>
                <w:color w:val="000000"/>
                <w:spacing w:val="-4"/>
                <w:sz w:val="21"/>
                <w:szCs w:val="21"/>
              </w:rPr>
              <w:t>符合</w:t>
            </w:r>
          </w:p>
        </w:tc>
        <w:tc>
          <w:tcPr>
            <w:tcW w:w="957" w:type="dxa"/>
            <w:shd w:val="clear" w:color="auto" w:fill="auto"/>
            <w:vAlign w:val="center"/>
          </w:tcPr>
          <w:p>
            <w:pPr>
              <w:jc w:val="center"/>
              <w:rPr>
                <w:color w:val="000000"/>
                <w:spacing w:val="-4"/>
                <w:sz w:val="21"/>
                <w:szCs w:val="21"/>
              </w:rPr>
            </w:pPr>
            <w:r>
              <w:rPr>
                <w:color w:val="000000"/>
                <w:spacing w:val="-4"/>
                <w:sz w:val="21"/>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756" w:type="dxa"/>
            <w:shd w:val="clear" w:color="auto" w:fill="auto"/>
            <w:vAlign w:val="center"/>
          </w:tcPr>
          <w:p>
            <w:pPr>
              <w:jc w:val="center"/>
              <w:rPr>
                <w:color w:val="000000"/>
                <w:spacing w:val="-4"/>
                <w:sz w:val="21"/>
                <w:szCs w:val="21"/>
              </w:rPr>
            </w:pPr>
            <w:r>
              <w:rPr>
                <w:color w:val="000000"/>
                <w:spacing w:val="-4"/>
                <w:sz w:val="21"/>
                <w:szCs w:val="21"/>
              </w:rPr>
              <w:t>5.1.2</w:t>
            </w:r>
          </w:p>
        </w:tc>
        <w:tc>
          <w:tcPr>
            <w:tcW w:w="1023" w:type="dxa"/>
            <w:shd w:val="clear" w:color="auto" w:fill="auto"/>
            <w:vAlign w:val="center"/>
          </w:tcPr>
          <w:p>
            <w:pPr>
              <w:jc w:val="center"/>
              <w:rPr>
                <w:color w:val="000000"/>
                <w:spacing w:val="-4"/>
                <w:sz w:val="21"/>
                <w:szCs w:val="21"/>
              </w:rPr>
            </w:pPr>
            <w:r>
              <w:rPr>
                <w:color w:val="000000"/>
                <w:spacing w:val="-4"/>
                <w:sz w:val="21"/>
                <w:szCs w:val="21"/>
              </w:rPr>
              <w:t>符合</w:t>
            </w:r>
          </w:p>
        </w:tc>
        <w:tc>
          <w:tcPr>
            <w:tcW w:w="964" w:type="dxa"/>
            <w:shd w:val="clear" w:color="auto" w:fill="auto"/>
            <w:vAlign w:val="center"/>
          </w:tcPr>
          <w:p>
            <w:pPr>
              <w:jc w:val="center"/>
              <w:rPr>
                <w:color w:val="000000"/>
                <w:spacing w:val="-4"/>
                <w:sz w:val="21"/>
                <w:szCs w:val="21"/>
              </w:rPr>
            </w:pPr>
            <w:r>
              <w:rPr>
                <w:color w:val="000000"/>
                <w:spacing w:val="-4"/>
                <w:sz w:val="21"/>
                <w:szCs w:val="21"/>
              </w:rPr>
              <w:t>符合</w:t>
            </w:r>
          </w:p>
        </w:tc>
        <w:tc>
          <w:tcPr>
            <w:tcW w:w="1095" w:type="dxa"/>
            <w:shd w:val="clear" w:color="auto" w:fill="auto"/>
            <w:vAlign w:val="center"/>
          </w:tcPr>
          <w:p>
            <w:pPr>
              <w:jc w:val="center"/>
              <w:rPr>
                <w:color w:val="000000"/>
                <w:spacing w:val="-4"/>
                <w:sz w:val="21"/>
                <w:szCs w:val="21"/>
              </w:rPr>
            </w:pPr>
            <w:r>
              <w:rPr>
                <w:color w:val="000000"/>
                <w:spacing w:val="-4"/>
                <w:sz w:val="21"/>
                <w:szCs w:val="21"/>
              </w:rPr>
              <w:t>符合</w:t>
            </w:r>
          </w:p>
        </w:tc>
        <w:tc>
          <w:tcPr>
            <w:tcW w:w="1059" w:type="dxa"/>
            <w:shd w:val="clear" w:color="auto" w:fill="auto"/>
            <w:vAlign w:val="center"/>
          </w:tcPr>
          <w:p>
            <w:pPr>
              <w:jc w:val="center"/>
              <w:rPr>
                <w:color w:val="000000"/>
                <w:spacing w:val="-4"/>
                <w:sz w:val="21"/>
                <w:szCs w:val="21"/>
              </w:rPr>
            </w:pPr>
            <w:r>
              <w:rPr>
                <w:color w:val="000000"/>
                <w:spacing w:val="-4"/>
                <w:sz w:val="21"/>
                <w:szCs w:val="21"/>
              </w:rPr>
              <w:t>符合</w:t>
            </w:r>
          </w:p>
        </w:tc>
        <w:tc>
          <w:tcPr>
            <w:tcW w:w="995" w:type="dxa"/>
            <w:shd w:val="clear" w:color="auto" w:fill="auto"/>
            <w:vAlign w:val="center"/>
          </w:tcPr>
          <w:p>
            <w:pPr>
              <w:jc w:val="center"/>
              <w:rPr>
                <w:color w:val="000000"/>
                <w:spacing w:val="-4"/>
                <w:sz w:val="21"/>
                <w:szCs w:val="21"/>
              </w:rPr>
            </w:pPr>
            <w:r>
              <w:rPr>
                <w:color w:val="000000"/>
                <w:spacing w:val="-4"/>
                <w:sz w:val="21"/>
                <w:szCs w:val="21"/>
              </w:rPr>
              <w:t>符合</w:t>
            </w:r>
          </w:p>
        </w:tc>
        <w:tc>
          <w:tcPr>
            <w:tcW w:w="966" w:type="dxa"/>
            <w:shd w:val="clear" w:color="auto" w:fill="auto"/>
            <w:vAlign w:val="center"/>
          </w:tcPr>
          <w:p>
            <w:pPr>
              <w:jc w:val="center"/>
              <w:rPr>
                <w:color w:val="000000"/>
                <w:spacing w:val="-4"/>
                <w:sz w:val="21"/>
                <w:szCs w:val="21"/>
              </w:rPr>
            </w:pPr>
            <w:r>
              <w:rPr>
                <w:color w:val="000000"/>
                <w:spacing w:val="-4"/>
                <w:sz w:val="21"/>
                <w:szCs w:val="21"/>
              </w:rPr>
              <w:t>符合</w:t>
            </w:r>
          </w:p>
        </w:tc>
        <w:tc>
          <w:tcPr>
            <w:tcW w:w="957" w:type="dxa"/>
            <w:shd w:val="clear" w:color="auto" w:fill="auto"/>
            <w:vAlign w:val="center"/>
          </w:tcPr>
          <w:p>
            <w:pPr>
              <w:jc w:val="center"/>
              <w:rPr>
                <w:color w:val="000000"/>
                <w:spacing w:val="-4"/>
                <w:sz w:val="21"/>
                <w:szCs w:val="21"/>
              </w:rPr>
            </w:pPr>
            <w:r>
              <w:rPr>
                <w:color w:val="000000"/>
                <w:spacing w:val="-4"/>
                <w:sz w:val="21"/>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756" w:type="dxa"/>
            <w:shd w:val="clear" w:color="auto" w:fill="auto"/>
            <w:vAlign w:val="center"/>
          </w:tcPr>
          <w:p>
            <w:pPr>
              <w:jc w:val="center"/>
              <w:rPr>
                <w:color w:val="000000"/>
                <w:spacing w:val="-4"/>
                <w:sz w:val="21"/>
                <w:szCs w:val="21"/>
              </w:rPr>
            </w:pPr>
            <w:r>
              <w:rPr>
                <w:color w:val="000000"/>
                <w:spacing w:val="-4"/>
                <w:sz w:val="21"/>
                <w:szCs w:val="21"/>
              </w:rPr>
              <w:t>5.1.3</w:t>
            </w:r>
          </w:p>
        </w:tc>
        <w:tc>
          <w:tcPr>
            <w:tcW w:w="1023" w:type="dxa"/>
            <w:shd w:val="clear" w:color="auto" w:fill="auto"/>
            <w:vAlign w:val="center"/>
          </w:tcPr>
          <w:p>
            <w:pPr>
              <w:jc w:val="center"/>
              <w:rPr>
                <w:color w:val="000000"/>
                <w:spacing w:val="-4"/>
                <w:sz w:val="21"/>
                <w:szCs w:val="21"/>
              </w:rPr>
            </w:pPr>
            <w:r>
              <w:rPr>
                <w:color w:val="000000"/>
                <w:spacing w:val="-4"/>
                <w:sz w:val="21"/>
                <w:szCs w:val="21"/>
              </w:rPr>
              <w:t>符合</w:t>
            </w:r>
          </w:p>
        </w:tc>
        <w:tc>
          <w:tcPr>
            <w:tcW w:w="964" w:type="dxa"/>
            <w:shd w:val="clear" w:color="auto" w:fill="auto"/>
            <w:vAlign w:val="center"/>
          </w:tcPr>
          <w:p>
            <w:pPr>
              <w:jc w:val="center"/>
              <w:rPr>
                <w:color w:val="000000"/>
                <w:spacing w:val="-4"/>
                <w:sz w:val="21"/>
                <w:szCs w:val="21"/>
              </w:rPr>
            </w:pPr>
            <w:r>
              <w:rPr>
                <w:color w:val="000000"/>
                <w:spacing w:val="-4"/>
                <w:sz w:val="21"/>
                <w:szCs w:val="21"/>
              </w:rPr>
              <w:t>符合</w:t>
            </w:r>
          </w:p>
        </w:tc>
        <w:tc>
          <w:tcPr>
            <w:tcW w:w="1095" w:type="dxa"/>
            <w:shd w:val="clear" w:color="auto" w:fill="auto"/>
            <w:vAlign w:val="center"/>
          </w:tcPr>
          <w:p>
            <w:pPr>
              <w:jc w:val="center"/>
              <w:rPr>
                <w:color w:val="000000"/>
                <w:spacing w:val="-4"/>
                <w:sz w:val="21"/>
                <w:szCs w:val="21"/>
              </w:rPr>
            </w:pPr>
            <w:r>
              <w:rPr>
                <w:color w:val="000000"/>
                <w:spacing w:val="-4"/>
                <w:sz w:val="21"/>
                <w:szCs w:val="21"/>
              </w:rPr>
              <w:t>符合</w:t>
            </w:r>
          </w:p>
        </w:tc>
        <w:tc>
          <w:tcPr>
            <w:tcW w:w="1059" w:type="dxa"/>
            <w:shd w:val="clear" w:color="auto" w:fill="auto"/>
            <w:vAlign w:val="center"/>
          </w:tcPr>
          <w:p>
            <w:pPr>
              <w:jc w:val="center"/>
              <w:rPr>
                <w:color w:val="000000"/>
                <w:spacing w:val="-4"/>
                <w:sz w:val="21"/>
                <w:szCs w:val="21"/>
              </w:rPr>
            </w:pPr>
            <w:r>
              <w:rPr>
                <w:color w:val="000000"/>
                <w:spacing w:val="-4"/>
                <w:sz w:val="21"/>
                <w:szCs w:val="21"/>
              </w:rPr>
              <w:t>符合</w:t>
            </w:r>
          </w:p>
        </w:tc>
        <w:tc>
          <w:tcPr>
            <w:tcW w:w="995" w:type="dxa"/>
            <w:shd w:val="clear" w:color="auto" w:fill="auto"/>
            <w:vAlign w:val="center"/>
          </w:tcPr>
          <w:p>
            <w:pPr>
              <w:jc w:val="center"/>
              <w:rPr>
                <w:color w:val="000000"/>
                <w:spacing w:val="-4"/>
                <w:sz w:val="21"/>
                <w:szCs w:val="21"/>
              </w:rPr>
            </w:pPr>
            <w:r>
              <w:rPr>
                <w:color w:val="000000"/>
                <w:spacing w:val="-4"/>
                <w:sz w:val="21"/>
                <w:szCs w:val="21"/>
              </w:rPr>
              <w:t>符合</w:t>
            </w:r>
          </w:p>
        </w:tc>
        <w:tc>
          <w:tcPr>
            <w:tcW w:w="966" w:type="dxa"/>
            <w:shd w:val="clear" w:color="auto" w:fill="auto"/>
            <w:vAlign w:val="center"/>
          </w:tcPr>
          <w:p>
            <w:pPr>
              <w:jc w:val="center"/>
              <w:rPr>
                <w:color w:val="000000"/>
                <w:spacing w:val="-4"/>
                <w:sz w:val="21"/>
                <w:szCs w:val="21"/>
              </w:rPr>
            </w:pPr>
            <w:r>
              <w:rPr>
                <w:color w:val="000000"/>
                <w:spacing w:val="-4"/>
                <w:sz w:val="21"/>
                <w:szCs w:val="21"/>
              </w:rPr>
              <w:t>符合</w:t>
            </w:r>
          </w:p>
        </w:tc>
        <w:tc>
          <w:tcPr>
            <w:tcW w:w="957" w:type="dxa"/>
            <w:shd w:val="clear" w:color="auto" w:fill="auto"/>
            <w:vAlign w:val="center"/>
          </w:tcPr>
          <w:p>
            <w:pPr>
              <w:jc w:val="center"/>
              <w:rPr>
                <w:color w:val="000000"/>
                <w:spacing w:val="-4"/>
                <w:sz w:val="21"/>
                <w:szCs w:val="21"/>
              </w:rPr>
            </w:pPr>
            <w:r>
              <w:rPr>
                <w:color w:val="000000"/>
                <w:spacing w:val="-4"/>
                <w:sz w:val="21"/>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756" w:type="dxa"/>
            <w:shd w:val="clear" w:color="auto" w:fill="auto"/>
            <w:vAlign w:val="center"/>
          </w:tcPr>
          <w:p>
            <w:pPr>
              <w:jc w:val="center"/>
              <w:rPr>
                <w:color w:val="000000"/>
                <w:spacing w:val="-4"/>
                <w:sz w:val="21"/>
                <w:szCs w:val="21"/>
              </w:rPr>
            </w:pPr>
            <w:r>
              <w:rPr>
                <w:color w:val="000000"/>
                <w:spacing w:val="-4"/>
                <w:sz w:val="21"/>
                <w:szCs w:val="21"/>
              </w:rPr>
              <w:t>5.1.4</w:t>
            </w:r>
          </w:p>
        </w:tc>
        <w:tc>
          <w:tcPr>
            <w:tcW w:w="1023" w:type="dxa"/>
            <w:shd w:val="clear" w:color="auto" w:fill="auto"/>
            <w:vAlign w:val="center"/>
          </w:tcPr>
          <w:p>
            <w:pPr>
              <w:jc w:val="center"/>
              <w:rPr>
                <w:color w:val="000000"/>
                <w:spacing w:val="-4"/>
                <w:sz w:val="21"/>
                <w:szCs w:val="21"/>
              </w:rPr>
            </w:pPr>
            <w:r>
              <w:rPr>
                <w:color w:val="000000"/>
                <w:spacing w:val="-4"/>
                <w:sz w:val="21"/>
                <w:szCs w:val="21"/>
              </w:rPr>
              <w:t>符合</w:t>
            </w:r>
          </w:p>
        </w:tc>
        <w:tc>
          <w:tcPr>
            <w:tcW w:w="964" w:type="dxa"/>
            <w:shd w:val="clear" w:color="auto" w:fill="auto"/>
            <w:vAlign w:val="center"/>
          </w:tcPr>
          <w:p>
            <w:pPr>
              <w:jc w:val="center"/>
              <w:rPr>
                <w:color w:val="000000"/>
                <w:spacing w:val="-4"/>
                <w:sz w:val="21"/>
                <w:szCs w:val="21"/>
              </w:rPr>
            </w:pPr>
            <w:r>
              <w:rPr>
                <w:color w:val="000000"/>
                <w:spacing w:val="-4"/>
                <w:sz w:val="21"/>
                <w:szCs w:val="21"/>
              </w:rPr>
              <w:t>符合</w:t>
            </w:r>
          </w:p>
        </w:tc>
        <w:tc>
          <w:tcPr>
            <w:tcW w:w="1095" w:type="dxa"/>
            <w:shd w:val="clear" w:color="auto" w:fill="auto"/>
            <w:vAlign w:val="center"/>
          </w:tcPr>
          <w:p>
            <w:pPr>
              <w:jc w:val="center"/>
              <w:rPr>
                <w:color w:val="000000"/>
                <w:spacing w:val="-4"/>
                <w:sz w:val="21"/>
                <w:szCs w:val="21"/>
              </w:rPr>
            </w:pPr>
            <w:r>
              <w:rPr>
                <w:color w:val="000000"/>
                <w:spacing w:val="-4"/>
                <w:sz w:val="21"/>
                <w:szCs w:val="21"/>
              </w:rPr>
              <w:t>符合</w:t>
            </w:r>
          </w:p>
        </w:tc>
        <w:tc>
          <w:tcPr>
            <w:tcW w:w="1059" w:type="dxa"/>
            <w:shd w:val="clear" w:color="auto" w:fill="auto"/>
            <w:vAlign w:val="center"/>
          </w:tcPr>
          <w:p>
            <w:pPr>
              <w:jc w:val="center"/>
              <w:rPr>
                <w:color w:val="000000"/>
                <w:spacing w:val="-4"/>
                <w:sz w:val="21"/>
                <w:szCs w:val="21"/>
              </w:rPr>
            </w:pPr>
            <w:r>
              <w:rPr>
                <w:color w:val="000000"/>
                <w:spacing w:val="-4"/>
                <w:sz w:val="21"/>
                <w:szCs w:val="21"/>
              </w:rPr>
              <w:t>符合</w:t>
            </w:r>
          </w:p>
        </w:tc>
        <w:tc>
          <w:tcPr>
            <w:tcW w:w="995" w:type="dxa"/>
            <w:shd w:val="clear" w:color="auto" w:fill="auto"/>
            <w:vAlign w:val="center"/>
          </w:tcPr>
          <w:p>
            <w:pPr>
              <w:jc w:val="center"/>
              <w:rPr>
                <w:color w:val="000000"/>
                <w:spacing w:val="-4"/>
                <w:sz w:val="21"/>
                <w:szCs w:val="21"/>
              </w:rPr>
            </w:pPr>
            <w:r>
              <w:rPr>
                <w:color w:val="000000"/>
                <w:spacing w:val="-4"/>
                <w:sz w:val="21"/>
                <w:szCs w:val="21"/>
              </w:rPr>
              <w:t>符合</w:t>
            </w:r>
          </w:p>
        </w:tc>
        <w:tc>
          <w:tcPr>
            <w:tcW w:w="966" w:type="dxa"/>
            <w:shd w:val="clear" w:color="auto" w:fill="auto"/>
            <w:vAlign w:val="center"/>
          </w:tcPr>
          <w:p>
            <w:pPr>
              <w:jc w:val="center"/>
              <w:rPr>
                <w:color w:val="000000"/>
                <w:spacing w:val="-4"/>
                <w:sz w:val="21"/>
                <w:szCs w:val="21"/>
              </w:rPr>
            </w:pPr>
            <w:r>
              <w:rPr>
                <w:color w:val="000000"/>
                <w:spacing w:val="-4"/>
                <w:sz w:val="21"/>
                <w:szCs w:val="21"/>
              </w:rPr>
              <w:t>符合</w:t>
            </w:r>
          </w:p>
        </w:tc>
        <w:tc>
          <w:tcPr>
            <w:tcW w:w="957" w:type="dxa"/>
            <w:shd w:val="clear" w:color="auto" w:fill="auto"/>
            <w:vAlign w:val="center"/>
          </w:tcPr>
          <w:p>
            <w:pPr>
              <w:jc w:val="center"/>
              <w:rPr>
                <w:color w:val="000000"/>
                <w:spacing w:val="-4"/>
                <w:sz w:val="21"/>
                <w:szCs w:val="21"/>
              </w:rPr>
            </w:pPr>
            <w:r>
              <w:rPr>
                <w:color w:val="000000"/>
                <w:spacing w:val="-4"/>
                <w:sz w:val="21"/>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756" w:type="dxa"/>
            <w:shd w:val="clear" w:color="auto" w:fill="auto"/>
            <w:vAlign w:val="center"/>
          </w:tcPr>
          <w:p>
            <w:pPr>
              <w:jc w:val="center"/>
              <w:rPr>
                <w:color w:val="000000"/>
                <w:spacing w:val="-4"/>
                <w:sz w:val="21"/>
                <w:szCs w:val="21"/>
              </w:rPr>
            </w:pPr>
            <w:r>
              <w:rPr>
                <w:color w:val="000000"/>
                <w:spacing w:val="-4"/>
                <w:sz w:val="21"/>
                <w:szCs w:val="21"/>
              </w:rPr>
              <w:t>5.1.5</w:t>
            </w:r>
          </w:p>
        </w:tc>
        <w:tc>
          <w:tcPr>
            <w:tcW w:w="1023" w:type="dxa"/>
            <w:shd w:val="clear" w:color="auto" w:fill="auto"/>
            <w:vAlign w:val="center"/>
          </w:tcPr>
          <w:p>
            <w:pPr>
              <w:jc w:val="center"/>
              <w:rPr>
                <w:color w:val="000000"/>
                <w:spacing w:val="-4"/>
                <w:sz w:val="21"/>
                <w:szCs w:val="21"/>
              </w:rPr>
            </w:pPr>
            <w:r>
              <w:rPr>
                <w:color w:val="000000"/>
                <w:spacing w:val="-4"/>
                <w:sz w:val="21"/>
                <w:szCs w:val="21"/>
              </w:rPr>
              <w:t>符合</w:t>
            </w:r>
          </w:p>
        </w:tc>
        <w:tc>
          <w:tcPr>
            <w:tcW w:w="964" w:type="dxa"/>
            <w:shd w:val="clear" w:color="auto" w:fill="auto"/>
            <w:vAlign w:val="center"/>
          </w:tcPr>
          <w:p>
            <w:pPr>
              <w:jc w:val="center"/>
              <w:rPr>
                <w:color w:val="000000"/>
                <w:spacing w:val="-4"/>
                <w:sz w:val="21"/>
                <w:szCs w:val="21"/>
              </w:rPr>
            </w:pPr>
            <w:r>
              <w:rPr>
                <w:color w:val="000000"/>
                <w:spacing w:val="-4"/>
                <w:sz w:val="21"/>
                <w:szCs w:val="21"/>
              </w:rPr>
              <w:t>符合</w:t>
            </w:r>
          </w:p>
        </w:tc>
        <w:tc>
          <w:tcPr>
            <w:tcW w:w="1095" w:type="dxa"/>
            <w:shd w:val="clear" w:color="auto" w:fill="auto"/>
            <w:vAlign w:val="center"/>
          </w:tcPr>
          <w:p>
            <w:pPr>
              <w:jc w:val="center"/>
              <w:rPr>
                <w:color w:val="000000"/>
                <w:spacing w:val="-4"/>
                <w:sz w:val="21"/>
                <w:szCs w:val="21"/>
              </w:rPr>
            </w:pPr>
            <w:r>
              <w:rPr>
                <w:color w:val="000000"/>
                <w:spacing w:val="-4"/>
                <w:sz w:val="21"/>
                <w:szCs w:val="21"/>
              </w:rPr>
              <w:t>符合</w:t>
            </w:r>
          </w:p>
        </w:tc>
        <w:tc>
          <w:tcPr>
            <w:tcW w:w="1059" w:type="dxa"/>
            <w:shd w:val="clear" w:color="auto" w:fill="auto"/>
            <w:vAlign w:val="center"/>
          </w:tcPr>
          <w:p>
            <w:pPr>
              <w:jc w:val="center"/>
              <w:rPr>
                <w:color w:val="000000"/>
                <w:spacing w:val="-4"/>
                <w:sz w:val="21"/>
                <w:szCs w:val="21"/>
              </w:rPr>
            </w:pPr>
            <w:r>
              <w:rPr>
                <w:color w:val="000000"/>
                <w:spacing w:val="-4"/>
                <w:sz w:val="21"/>
                <w:szCs w:val="21"/>
              </w:rPr>
              <w:t>符合</w:t>
            </w:r>
          </w:p>
        </w:tc>
        <w:tc>
          <w:tcPr>
            <w:tcW w:w="995" w:type="dxa"/>
            <w:shd w:val="clear" w:color="auto" w:fill="auto"/>
            <w:vAlign w:val="center"/>
          </w:tcPr>
          <w:p>
            <w:pPr>
              <w:jc w:val="center"/>
              <w:rPr>
                <w:color w:val="000000"/>
                <w:spacing w:val="-4"/>
                <w:sz w:val="21"/>
                <w:szCs w:val="21"/>
              </w:rPr>
            </w:pPr>
            <w:r>
              <w:rPr>
                <w:color w:val="000000"/>
                <w:spacing w:val="-4"/>
                <w:sz w:val="21"/>
                <w:szCs w:val="21"/>
              </w:rPr>
              <w:t>符合</w:t>
            </w:r>
          </w:p>
        </w:tc>
        <w:tc>
          <w:tcPr>
            <w:tcW w:w="966" w:type="dxa"/>
            <w:shd w:val="clear" w:color="auto" w:fill="auto"/>
            <w:vAlign w:val="center"/>
          </w:tcPr>
          <w:p>
            <w:pPr>
              <w:jc w:val="center"/>
              <w:rPr>
                <w:color w:val="000000"/>
                <w:spacing w:val="-4"/>
                <w:sz w:val="21"/>
                <w:szCs w:val="21"/>
              </w:rPr>
            </w:pPr>
            <w:r>
              <w:rPr>
                <w:color w:val="000000"/>
                <w:spacing w:val="-4"/>
                <w:sz w:val="21"/>
                <w:szCs w:val="21"/>
              </w:rPr>
              <w:t>符合</w:t>
            </w:r>
          </w:p>
        </w:tc>
        <w:tc>
          <w:tcPr>
            <w:tcW w:w="957" w:type="dxa"/>
            <w:shd w:val="clear" w:color="auto" w:fill="auto"/>
            <w:vAlign w:val="center"/>
          </w:tcPr>
          <w:p>
            <w:pPr>
              <w:jc w:val="center"/>
              <w:rPr>
                <w:color w:val="000000"/>
                <w:spacing w:val="-4"/>
                <w:sz w:val="21"/>
                <w:szCs w:val="21"/>
              </w:rPr>
            </w:pPr>
            <w:r>
              <w:rPr>
                <w:color w:val="000000"/>
                <w:spacing w:val="-4"/>
                <w:sz w:val="21"/>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756" w:type="dxa"/>
            <w:shd w:val="clear" w:color="auto" w:fill="auto"/>
            <w:vAlign w:val="center"/>
          </w:tcPr>
          <w:p>
            <w:pPr>
              <w:jc w:val="center"/>
              <w:rPr>
                <w:color w:val="000000"/>
                <w:spacing w:val="-4"/>
                <w:sz w:val="21"/>
                <w:szCs w:val="21"/>
              </w:rPr>
            </w:pPr>
            <w:r>
              <w:rPr>
                <w:color w:val="000000"/>
                <w:spacing w:val="-4"/>
                <w:sz w:val="21"/>
                <w:szCs w:val="21"/>
              </w:rPr>
              <w:t>5.1.6</w:t>
            </w:r>
          </w:p>
        </w:tc>
        <w:tc>
          <w:tcPr>
            <w:tcW w:w="1023" w:type="dxa"/>
            <w:shd w:val="clear" w:color="auto" w:fill="auto"/>
            <w:vAlign w:val="center"/>
          </w:tcPr>
          <w:p>
            <w:pPr>
              <w:jc w:val="center"/>
              <w:rPr>
                <w:color w:val="000000"/>
                <w:spacing w:val="-4"/>
                <w:sz w:val="21"/>
                <w:szCs w:val="21"/>
              </w:rPr>
            </w:pPr>
            <w:r>
              <w:rPr>
                <w:color w:val="000000"/>
                <w:spacing w:val="-4"/>
                <w:sz w:val="21"/>
                <w:szCs w:val="21"/>
              </w:rPr>
              <w:t>符合</w:t>
            </w:r>
          </w:p>
        </w:tc>
        <w:tc>
          <w:tcPr>
            <w:tcW w:w="964" w:type="dxa"/>
            <w:shd w:val="clear" w:color="auto" w:fill="auto"/>
            <w:vAlign w:val="center"/>
          </w:tcPr>
          <w:p>
            <w:pPr>
              <w:jc w:val="center"/>
              <w:rPr>
                <w:color w:val="000000"/>
                <w:spacing w:val="-4"/>
                <w:sz w:val="21"/>
                <w:szCs w:val="21"/>
              </w:rPr>
            </w:pPr>
            <w:r>
              <w:rPr>
                <w:color w:val="000000"/>
                <w:spacing w:val="-4"/>
                <w:sz w:val="21"/>
                <w:szCs w:val="21"/>
              </w:rPr>
              <w:t>符合</w:t>
            </w:r>
          </w:p>
        </w:tc>
        <w:tc>
          <w:tcPr>
            <w:tcW w:w="1095" w:type="dxa"/>
            <w:shd w:val="clear" w:color="auto" w:fill="auto"/>
            <w:vAlign w:val="center"/>
          </w:tcPr>
          <w:p>
            <w:pPr>
              <w:jc w:val="center"/>
              <w:rPr>
                <w:color w:val="000000"/>
                <w:spacing w:val="-4"/>
                <w:sz w:val="21"/>
                <w:szCs w:val="21"/>
              </w:rPr>
            </w:pPr>
            <w:r>
              <w:rPr>
                <w:color w:val="000000"/>
                <w:spacing w:val="-4"/>
                <w:sz w:val="21"/>
                <w:szCs w:val="21"/>
              </w:rPr>
              <w:t>符合</w:t>
            </w:r>
          </w:p>
        </w:tc>
        <w:tc>
          <w:tcPr>
            <w:tcW w:w="1059" w:type="dxa"/>
            <w:shd w:val="clear" w:color="auto" w:fill="auto"/>
            <w:vAlign w:val="center"/>
          </w:tcPr>
          <w:p>
            <w:pPr>
              <w:jc w:val="center"/>
              <w:rPr>
                <w:color w:val="000000"/>
                <w:spacing w:val="-4"/>
                <w:sz w:val="21"/>
                <w:szCs w:val="21"/>
              </w:rPr>
            </w:pPr>
            <w:r>
              <w:rPr>
                <w:color w:val="000000"/>
                <w:spacing w:val="-4"/>
                <w:sz w:val="21"/>
                <w:szCs w:val="21"/>
              </w:rPr>
              <w:t>符合</w:t>
            </w:r>
          </w:p>
        </w:tc>
        <w:tc>
          <w:tcPr>
            <w:tcW w:w="995" w:type="dxa"/>
            <w:shd w:val="clear" w:color="auto" w:fill="auto"/>
            <w:vAlign w:val="center"/>
          </w:tcPr>
          <w:p>
            <w:pPr>
              <w:jc w:val="center"/>
              <w:rPr>
                <w:color w:val="000000"/>
                <w:spacing w:val="-4"/>
                <w:sz w:val="21"/>
                <w:szCs w:val="21"/>
              </w:rPr>
            </w:pPr>
            <w:r>
              <w:rPr>
                <w:color w:val="000000"/>
                <w:spacing w:val="-4"/>
                <w:sz w:val="21"/>
                <w:szCs w:val="21"/>
              </w:rPr>
              <w:t>符合</w:t>
            </w:r>
          </w:p>
        </w:tc>
        <w:tc>
          <w:tcPr>
            <w:tcW w:w="966" w:type="dxa"/>
            <w:shd w:val="clear" w:color="auto" w:fill="auto"/>
            <w:vAlign w:val="center"/>
          </w:tcPr>
          <w:p>
            <w:pPr>
              <w:jc w:val="center"/>
              <w:rPr>
                <w:color w:val="000000"/>
                <w:spacing w:val="-4"/>
                <w:sz w:val="21"/>
                <w:szCs w:val="21"/>
              </w:rPr>
            </w:pPr>
            <w:r>
              <w:rPr>
                <w:color w:val="000000"/>
                <w:spacing w:val="-4"/>
                <w:sz w:val="21"/>
                <w:szCs w:val="21"/>
              </w:rPr>
              <w:t>符合</w:t>
            </w:r>
          </w:p>
        </w:tc>
        <w:tc>
          <w:tcPr>
            <w:tcW w:w="957" w:type="dxa"/>
            <w:shd w:val="clear" w:color="auto" w:fill="auto"/>
            <w:vAlign w:val="center"/>
          </w:tcPr>
          <w:p>
            <w:pPr>
              <w:jc w:val="center"/>
              <w:rPr>
                <w:color w:val="000000"/>
                <w:spacing w:val="-4"/>
                <w:sz w:val="21"/>
                <w:szCs w:val="21"/>
              </w:rPr>
            </w:pPr>
            <w:r>
              <w:rPr>
                <w:color w:val="000000"/>
                <w:spacing w:val="-4"/>
                <w:sz w:val="21"/>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756" w:type="dxa"/>
            <w:shd w:val="clear" w:color="auto" w:fill="auto"/>
            <w:vAlign w:val="center"/>
          </w:tcPr>
          <w:p>
            <w:pPr>
              <w:jc w:val="center"/>
              <w:rPr>
                <w:color w:val="000000"/>
                <w:spacing w:val="-4"/>
                <w:sz w:val="21"/>
                <w:szCs w:val="21"/>
              </w:rPr>
            </w:pPr>
            <w:r>
              <w:rPr>
                <w:color w:val="000000"/>
                <w:spacing w:val="-4"/>
                <w:sz w:val="21"/>
                <w:szCs w:val="21"/>
              </w:rPr>
              <w:t>5.1.7</w:t>
            </w:r>
          </w:p>
        </w:tc>
        <w:tc>
          <w:tcPr>
            <w:tcW w:w="1023" w:type="dxa"/>
            <w:shd w:val="clear" w:color="auto" w:fill="auto"/>
            <w:vAlign w:val="center"/>
          </w:tcPr>
          <w:p>
            <w:pPr>
              <w:jc w:val="center"/>
              <w:rPr>
                <w:color w:val="000000"/>
                <w:spacing w:val="-4"/>
                <w:sz w:val="21"/>
                <w:szCs w:val="21"/>
              </w:rPr>
            </w:pPr>
            <w:r>
              <w:rPr>
                <w:color w:val="000000"/>
                <w:spacing w:val="-4"/>
                <w:sz w:val="21"/>
                <w:szCs w:val="21"/>
              </w:rPr>
              <w:t>符合</w:t>
            </w:r>
          </w:p>
        </w:tc>
        <w:tc>
          <w:tcPr>
            <w:tcW w:w="964" w:type="dxa"/>
            <w:shd w:val="clear" w:color="auto" w:fill="auto"/>
            <w:vAlign w:val="center"/>
          </w:tcPr>
          <w:p>
            <w:pPr>
              <w:jc w:val="center"/>
              <w:rPr>
                <w:color w:val="000000"/>
                <w:spacing w:val="-4"/>
                <w:sz w:val="21"/>
                <w:szCs w:val="21"/>
              </w:rPr>
            </w:pPr>
            <w:r>
              <w:rPr>
                <w:color w:val="000000"/>
                <w:spacing w:val="-4"/>
                <w:sz w:val="21"/>
                <w:szCs w:val="21"/>
              </w:rPr>
              <w:t>符合</w:t>
            </w:r>
          </w:p>
        </w:tc>
        <w:tc>
          <w:tcPr>
            <w:tcW w:w="1095" w:type="dxa"/>
            <w:shd w:val="clear" w:color="auto" w:fill="auto"/>
            <w:vAlign w:val="center"/>
          </w:tcPr>
          <w:p>
            <w:pPr>
              <w:jc w:val="center"/>
              <w:rPr>
                <w:color w:val="000000"/>
                <w:spacing w:val="-4"/>
                <w:sz w:val="21"/>
                <w:szCs w:val="21"/>
              </w:rPr>
            </w:pPr>
            <w:r>
              <w:rPr>
                <w:color w:val="000000"/>
                <w:spacing w:val="-4"/>
                <w:sz w:val="21"/>
                <w:szCs w:val="21"/>
              </w:rPr>
              <w:t>符合</w:t>
            </w:r>
          </w:p>
        </w:tc>
        <w:tc>
          <w:tcPr>
            <w:tcW w:w="1059" w:type="dxa"/>
            <w:shd w:val="clear" w:color="auto" w:fill="auto"/>
            <w:vAlign w:val="center"/>
          </w:tcPr>
          <w:p>
            <w:pPr>
              <w:jc w:val="center"/>
              <w:rPr>
                <w:color w:val="000000"/>
                <w:spacing w:val="-4"/>
                <w:sz w:val="21"/>
                <w:szCs w:val="21"/>
              </w:rPr>
            </w:pPr>
            <w:r>
              <w:rPr>
                <w:color w:val="000000"/>
                <w:spacing w:val="-4"/>
                <w:sz w:val="21"/>
                <w:szCs w:val="21"/>
              </w:rPr>
              <w:t>符合</w:t>
            </w:r>
          </w:p>
        </w:tc>
        <w:tc>
          <w:tcPr>
            <w:tcW w:w="995" w:type="dxa"/>
            <w:shd w:val="clear" w:color="auto" w:fill="auto"/>
            <w:vAlign w:val="center"/>
          </w:tcPr>
          <w:p>
            <w:pPr>
              <w:jc w:val="center"/>
              <w:rPr>
                <w:color w:val="000000"/>
                <w:spacing w:val="-4"/>
                <w:sz w:val="21"/>
                <w:szCs w:val="21"/>
              </w:rPr>
            </w:pPr>
            <w:r>
              <w:rPr>
                <w:color w:val="000000"/>
                <w:spacing w:val="-4"/>
                <w:sz w:val="21"/>
                <w:szCs w:val="21"/>
              </w:rPr>
              <w:t>符合</w:t>
            </w:r>
          </w:p>
        </w:tc>
        <w:tc>
          <w:tcPr>
            <w:tcW w:w="966" w:type="dxa"/>
            <w:shd w:val="clear" w:color="auto" w:fill="auto"/>
            <w:vAlign w:val="center"/>
          </w:tcPr>
          <w:p>
            <w:pPr>
              <w:jc w:val="center"/>
              <w:rPr>
                <w:color w:val="000000"/>
                <w:spacing w:val="-4"/>
                <w:sz w:val="21"/>
                <w:szCs w:val="21"/>
              </w:rPr>
            </w:pPr>
            <w:r>
              <w:rPr>
                <w:color w:val="000000"/>
                <w:spacing w:val="-4"/>
                <w:sz w:val="21"/>
                <w:szCs w:val="21"/>
              </w:rPr>
              <w:t>符合</w:t>
            </w:r>
          </w:p>
        </w:tc>
        <w:tc>
          <w:tcPr>
            <w:tcW w:w="957" w:type="dxa"/>
            <w:shd w:val="clear" w:color="auto" w:fill="auto"/>
            <w:vAlign w:val="center"/>
          </w:tcPr>
          <w:p>
            <w:pPr>
              <w:jc w:val="center"/>
              <w:rPr>
                <w:color w:val="000000"/>
                <w:spacing w:val="-4"/>
                <w:sz w:val="21"/>
                <w:szCs w:val="21"/>
              </w:rPr>
            </w:pPr>
            <w:r>
              <w:rPr>
                <w:color w:val="000000"/>
                <w:spacing w:val="-4"/>
                <w:sz w:val="21"/>
                <w:szCs w:val="21"/>
              </w:rPr>
              <w:t>符合</w:t>
            </w:r>
          </w:p>
        </w:tc>
      </w:tr>
    </w:tbl>
    <w:p>
      <w:pPr>
        <w:spacing w:line="360" w:lineRule="auto"/>
        <w:jc w:val="center"/>
        <w:rPr>
          <w:color w:val="000000"/>
          <w:spacing w:val="-4"/>
          <w:sz w:val="24"/>
        </w:rPr>
      </w:pPr>
    </w:p>
    <w:p>
      <w:pPr>
        <w:spacing w:line="360" w:lineRule="auto"/>
        <w:ind w:firstLine="464" w:firstLineChars="200"/>
        <w:jc w:val="left"/>
        <w:rPr>
          <w:color w:val="000000"/>
          <w:spacing w:val="-4"/>
          <w:sz w:val="24"/>
        </w:rPr>
        <w:sectPr>
          <w:pgSz w:w="11906" w:h="16838"/>
          <w:pgMar w:top="1418" w:right="1474" w:bottom="1361" w:left="1588" w:header="737" w:footer="737" w:gutter="0"/>
          <w:pgNumType w:start="1"/>
          <w:cols w:space="720" w:num="1"/>
          <w:formProt w:val="0"/>
          <w:docGrid w:type="lines" w:linePitch="312" w:charSpace="0"/>
        </w:sectPr>
      </w:pPr>
    </w:p>
    <w:p>
      <w:pPr>
        <w:spacing w:line="360" w:lineRule="auto"/>
        <w:ind w:firstLine="464" w:firstLineChars="200"/>
        <w:jc w:val="left"/>
        <w:rPr>
          <w:color w:val="000000"/>
          <w:spacing w:val="-4"/>
          <w:sz w:val="24"/>
        </w:rPr>
      </w:pPr>
      <w:r>
        <w:rPr>
          <w:color w:val="000000"/>
          <w:spacing w:val="-4"/>
          <w:sz w:val="24"/>
        </w:rPr>
        <w:t>资源属性、能源属性、环境属性和产品属性的具体数值如下所示：</w:t>
      </w:r>
    </w:p>
    <w:p>
      <w:pPr>
        <w:spacing w:line="360" w:lineRule="auto"/>
        <w:jc w:val="center"/>
        <w:rPr>
          <w:color w:val="000000"/>
          <w:spacing w:val="-4"/>
          <w:sz w:val="24"/>
        </w:rPr>
      </w:pPr>
      <w:r>
        <w:rPr>
          <w:color w:val="000000"/>
          <w:spacing w:val="-4"/>
          <w:sz w:val="24"/>
        </w:rPr>
        <w:t>表4-2 企业评价指标验证</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8"/>
        <w:gridCol w:w="2044"/>
        <w:gridCol w:w="768"/>
        <w:gridCol w:w="2117"/>
        <w:gridCol w:w="541"/>
        <w:gridCol w:w="865"/>
        <w:gridCol w:w="933"/>
        <w:gridCol w:w="933"/>
        <w:gridCol w:w="933"/>
        <w:gridCol w:w="933"/>
        <w:gridCol w:w="933"/>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318" w:type="dxa"/>
            <w:shd w:val="clear" w:color="auto" w:fill="auto"/>
            <w:vAlign w:val="center"/>
          </w:tcPr>
          <w:p>
            <w:pPr>
              <w:jc w:val="center"/>
              <w:rPr>
                <w:rFonts w:hint="default"/>
                <w:color w:val="000000"/>
                <w:spacing w:val="-4"/>
                <w:sz w:val="18"/>
                <w:szCs w:val="18"/>
                <w:lang w:val="en-US" w:eastAsia="zh-CN"/>
              </w:rPr>
            </w:pPr>
            <w:r>
              <w:rPr>
                <w:rFonts w:hint="eastAsia"/>
                <w:color w:val="000000"/>
                <w:spacing w:val="-4"/>
                <w:sz w:val="18"/>
                <w:szCs w:val="18"/>
                <w:lang w:val="en-US" w:eastAsia="zh-CN"/>
              </w:rPr>
              <w:t>一级指标</w:t>
            </w:r>
          </w:p>
        </w:tc>
        <w:tc>
          <w:tcPr>
            <w:tcW w:w="2044" w:type="dxa"/>
            <w:shd w:val="clear" w:color="auto" w:fill="auto"/>
            <w:vAlign w:val="center"/>
          </w:tcPr>
          <w:p>
            <w:pPr>
              <w:jc w:val="center"/>
              <w:rPr>
                <w:rFonts w:hint="default" w:eastAsia="宋体"/>
                <w:color w:val="000000"/>
                <w:spacing w:val="-4"/>
                <w:sz w:val="18"/>
                <w:szCs w:val="18"/>
                <w:lang w:val="en-US" w:eastAsia="zh-CN"/>
              </w:rPr>
            </w:pPr>
            <w:r>
              <w:rPr>
                <w:rFonts w:hint="eastAsia"/>
                <w:color w:val="000000"/>
                <w:spacing w:val="-4"/>
                <w:sz w:val="18"/>
                <w:szCs w:val="18"/>
                <w:lang w:val="en-US" w:eastAsia="zh-CN"/>
              </w:rPr>
              <w:t>二级指标</w:t>
            </w:r>
          </w:p>
        </w:tc>
        <w:tc>
          <w:tcPr>
            <w:tcW w:w="768" w:type="dxa"/>
            <w:shd w:val="clear" w:color="auto" w:fill="auto"/>
            <w:vAlign w:val="center"/>
          </w:tcPr>
          <w:p>
            <w:pPr>
              <w:jc w:val="center"/>
              <w:rPr>
                <w:rFonts w:hint="default"/>
                <w:color w:val="000000"/>
                <w:spacing w:val="-4"/>
                <w:sz w:val="18"/>
                <w:szCs w:val="18"/>
                <w:lang w:val="en-US" w:eastAsia="zh-CN"/>
              </w:rPr>
            </w:pPr>
            <w:r>
              <w:rPr>
                <w:rFonts w:hint="eastAsia"/>
                <w:color w:val="000000"/>
                <w:spacing w:val="-4"/>
                <w:sz w:val="18"/>
                <w:szCs w:val="18"/>
                <w:lang w:val="en-US" w:eastAsia="zh-CN"/>
              </w:rPr>
              <w:t>单位</w:t>
            </w:r>
          </w:p>
        </w:tc>
        <w:tc>
          <w:tcPr>
            <w:tcW w:w="2658" w:type="dxa"/>
            <w:gridSpan w:val="2"/>
            <w:shd w:val="clear" w:color="auto" w:fill="auto"/>
            <w:vAlign w:val="center"/>
          </w:tcPr>
          <w:p>
            <w:pPr>
              <w:jc w:val="center"/>
              <w:rPr>
                <w:rFonts w:hint="default"/>
                <w:color w:val="000000"/>
                <w:spacing w:val="-4"/>
                <w:sz w:val="18"/>
                <w:szCs w:val="18"/>
                <w:lang w:val="en-US" w:eastAsia="zh-CN"/>
              </w:rPr>
            </w:pPr>
            <w:r>
              <w:rPr>
                <w:rFonts w:hint="eastAsia"/>
                <w:color w:val="000000"/>
                <w:spacing w:val="-4"/>
                <w:sz w:val="18"/>
                <w:szCs w:val="18"/>
                <w:lang w:val="en-US" w:eastAsia="zh-CN"/>
              </w:rPr>
              <w:t>基准值</w:t>
            </w:r>
          </w:p>
        </w:tc>
        <w:tc>
          <w:tcPr>
            <w:tcW w:w="865" w:type="dxa"/>
            <w:shd w:val="clear" w:color="auto" w:fill="auto"/>
            <w:vAlign w:val="center"/>
          </w:tcPr>
          <w:p>
            <w:pPr>
              <w:jc w:val="center"/>
              <w:rPr>
                <w:rFonts w:hint="default" w:eastAsia="宋体"/>
                <w:color w:val="000000"/>
                <w:spacing w:val="-4"/>
                <w:sz w:val="18"/>
                <w:szCs w:val="18"/>
                <w:lang w:val="en-US" w:eastAsia="zh-CN"/>
              </w:rPr>
            </w:pPr>
            <w:r>
              <w:rPr>
                <w:rFonts w:hint="eastAsia"/>
                <w:color w:val="000000"/>
                <w:spacing w:val="-4"/>
                <w:sz w:val="18"/>
                <w:szCs w:val="18"/>
                <w:lang w:val="en-US" w:eastAsia="zh-CN"/>
              </w:rPr>
              <w:t>企业A</w:t>
            </w:r>
          </w:p>
        </w:tc>
        <w:tc>
          <w:tcPr>
            <w:tcW w:w="933" w:type="dxa"/>
            <w:shd w:val="clear" w:color="auto" w:fill="auto"/>
            <w:vAlign w:val="center"/>
          </w:tcPr>
          <w:p>
            <w:pPr>
              <w:jc w:val="center"/>
              <w:rPr>
                <w:rFonts w:hint="default"/>
                <w:color w:val="000000" w:themeColor="text1"/>
                <w:spacing w:val="-4"/>
                <w:sz w:val="18"/>
                <w:szCs w:val="18"/>
                <w:lang w:val="en-US"/>
                <w14:textFill>
                  <w14:solidFill>
                    <w14:schemeClr w14:val="tx1"/>
                  </w14:solidFill>
                </w14:textFill>
              </w:rPr>
            </w:pPr>
            <w:r>
              <w:rPr>
                <w:rFonts w:hint="eastAsia"/>
                <w:color w:val="000000" w:themeColor="text1"/>
                <w:spacing w:val="-4"/>
                <w:sz w:val="18"/>
                <w:szCs w:val="18"/>
                <w:lang w:val="en-US" w:eastAsia="zh-CN"/>
                <w14:textFill>
                  <w14:solidFill>
                    <w14:schemeClr w14:val="tx1"/>
                  </w14:solidFill>
                </w14:textFill>
              </w:rPr>
              <w:t>企业B</w:t>
            </w:r>
          </w:p>
        </w:tc>
        <w:tc>
          <w:tcPr>
            <w:tcW w:w="933" w:type="dxa"/>
            <w:shd w:val="clear" w:color="auto" w:fill="auto"/>
            <w:vAlign w:val="center"/>
          </w:tcPr>
          <w:p>
            <w:pPr>
              <w:jc w:val="center"/>
              <w:rPr>
                <w:rFonts w:hint="default"/>
                <w:color w:val="000000" w:themeColor="text1"/>
                <w:spacing w:val="-4"/>
                <w:sz w:val="18"/>
                <w:szCs w:val="18"/>
                <w:lang w:val="en-US"/>
                <w14:textFill>
                  <w14:solidFill>
                    <w14:schemeClr w14:val="tx1"/>
                  </w14:solidFill>
                </w14:textFill>
              </w:rPr>
            </w:pPr>
            <w:r>
              <w:rPr>
                <w:rFonts w:hint="eastAsia"/>
                <w:color w:val="000000" w:themeColor="text1"/>
                <w:spacing w:val="-4"/>
                <w:sz w:val="18"/>
                <w:szCs w:val="18"/>
                <w:lang w:val="en-US" w:eastAsia="zh-CN"/>
                <w14:textFill>
                  <w14:solidFill>
                    <w14:schemeClr w14:val="tx1"/>
                  </w14:solidFill>
                </w14:textFill>
              </w:rPr>
              <w:t>企业C</w:t>
            </w:r>
          </w:p>
        </w:tc>
        <w:tc>
          <w:tcPr>
            <w:tcW w:w="933" w:type="dxa"/>
            <w:shd w:val="clear" w:color="auto" w:fill="auto"/>
            <w:vAlign w:val="center"/>
          </w:tcPr>
          <w:p>
            <w:pPr>
              <w:jc w:val="center"/>
              <w:rPr>
                <w:rFonts w:hint="default" w:eastAsia="宋体"/>
                <w:color w:val="000000" w:themeColor="text1"/>
                <w:spacing w:val="-4"/>
                <w:sz w:val="18"/>
                <w:szCs w:val="18"/>
                <w:lang w:val="en-US" w:eastAsia="zh-CN"/>
                <w14:textFill>
                  <w14:solidFill>
                    <w14:schemeClr w14:val="tx1"/>
                  </w14:solidFill>
                </w14:textFill>
              </w:rPr>
            </w:pPr>
            <w:r>
              <w:rPr>
                <w:rFonts w:hint="eastAsia"/>
                <w:color w:val="000000" w:themeColor="text1"/>
                <w:spacing w:val="-4"/>
                <w:sz w:val="18"/>
                <w:szCs w:val="18"/>
                <w:lang w:val="en-US" w:eastAsia="zh-CN"/>
                <w14:textFill>
                  <w14:solidFill>
                    <w14:schemeClr w14:val="tx1"/>
                  </w14:solidFill>
                </w14:textFill>
              </w:rPr>
              <w:t>企业D</w:t>
            </w:r>
          </w:p>
        </w:tc>
        <w:tc>
          <w:tcPr>
            <w:tcW w:w="933" w:type="dxa"/>
            <w:shd w:val="clear" w:color="auto" w:fill="auto"/>
            <w:vAlign w:val="center"/>
          </w:tcPr>
          <w:p>
            <w:pPr>
              <w:jc w:val="center"/>
              <w:rPr>
                <w:rFonts w:hint="default" w:eastAsia="宋体"/>
                <w:color w:val="000000"/>
                <w:spacing w:val="-4"/>
                <w:sz w:val="18"/>
                <w:szCs w:val="18"/>
                <w:lang w:val="en-US" w:eastAsia="zh-CN"/>
              </w:rPr>
            </w:pPr>
            <w:r>
              <w:rPr>
                <w:rFonts w:hint="eastAsia"/>
                <w:color w:val="000000"/>
                <w:spacing w:val="-4"/>
                <w:sz w:val="18"/>
                <w:szCs w:val="18"/>
                <w:lang w:val="en-US" w:eastAsia="zh-CN"/>
              </w:rPr>
              <w:t>企业E</w:t>
            </w:r>
          </w:p>
        </w:tc>
        <w:tc>
          <w:tcPr>
            <w:tcW w:w="933" w:type="dxa"/>
            <w:shd w:val="clear" w:color="auto" w:fill="auto"/>
            <w:vAlign w:val="center"/>
          </w:tcPr>
          <w:p>
            <w:pPr>
              <w:jc w:val="center"/>
              <w:rPr>
                <w:rFonts w:hint="default"/>
                <w:color w:val="000000"/>
                <w:spacing w:val="-4"/>
                <w:sz w:val="18"/>
                <w:szCs w:val="18"/>
                <w:lang w:val="en-US"/>
              </w:rPr>
            </w:pPr>
            <w:r>
              <w:rPr>
                <w:rFonts w:hint="eastAsia"/>
                <w:color w:val="000000"/>
                <w:spacing w:val="-4"/>
                <w:sz w:val="18"/>
                <w:szCs w:val="18"/>
                <w:lang w:val="en-US" w:eastAsia="zh-CN"/>
              </w:rPr>
              <w:t>企业H</w:t>
            </w:r>
          </w:p>
        </w:tc>
        <w:tc>
          <w:tcPr>
            <w:tcW w:w="933" w:type="dxa"/>
            <w:shd w:val="clear" w:color="auto" w:fill="auto"/>
            <w:vAlign w:val="center"/>
          </w:tcPr>
          <w:p>
            <w:pPr>
              <w:jc w:val="center"/>
              <w:rPr>
                <w:rFonts w:hint="default"/>
                <w:color w:val="000000"/>
                <w:spacing w:val="-4"/>
                <w:sz w:val="18"/>
                <w:szCs w:val="18"/>
                <w:lang w:val="en-US"/>
              </w:rPr>
            </w:pPr>
            <w:r>
              <w:rPr>
                <w:rFonts w:hint="eastAsia"/>
                <w:color w:val="000000"/>
                <w:spacing w:val="-4"/>
                <w:sz w:val="18"/>
                <w:szCs w:val="18"/>
                <w:lang w:val="en-US" w:eastAsia="zh-CN"/>
              </w:rPr>
              <w:t>企业I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1318" w:type="dxa"/>
            <w:vMerge w:val="restart"/>
            <w:shd w:val="clear" w:color="auto" w:fill="auto"/>
            <w:vAlign w:val="center"/>
          </w:tcPr>
          <w:p>
            <w:pPr>
              <w:spacing w:line="276" w:lineRule="auto"/>
              <w:jc w:val="center"/>
              <w:rPr>
                <w:rFonts w:hint="default" w:ascii="Calibri" w:hAnsi="Calibri"/>
                <w:color w:val="auto"/>
                <w:sz w:val="18"/>
                <w:szCs w:val="18"/>
                <w:highlight w:val="none"/>
                <w:lang w:val="en-US" w:eastAsia="zh-CN"/>
              </w:rPr>
            </w:pPr>
            <w:r>
              <w:rPr>
                <w:rFonts w:hint="eastAsia" w:ascii="Calibri" w:hAnsi="Calibri"/>
                <w:color w:val="auto"/>
                <w:sz w:val="18"/>
                <w:szCs w:val="18"/>
                <w:highlight w:val="none"/>
                <w:lang w:val="en-US" w:eastAsia="zh-CN"/>
              </w:rPr>
              <w:t>资源属性</w:t>
            </w:r>
          </w:p>
        </w:tc>
        <w:tc>
          <w:tcPr>
            <w:tcW w:w="2044" w:type="dxa"/>
            <w:shd w:val="clear" w:color="auto" w:fill="auto"/>
            <w:vAlign w:val="center"/>
          </w:tcPr>
          <w:p>
            <w:pPr>
              <w:spacing w:line="276" w:lineRule="auto"/>
              <w:jc w:val="center"/>
              <w:rPr>
                <w:color w:val="000000"/>
                <w:spacing w:val="-4"/>
                <w:sz w:val="18"/>
                <w:szCs w:val="18"/>
              </w:rPr>
            </w:pPr>
            <w:r>
              <w:rPr>
                <w:rFonts w:hint="eastAsia" w:ascii="Calibri" w:hAnsi="Calibri"/>
                <w:color w:val="auto"/>
                <w:sz w:val="18"/>
                <w:szCs w:val="18"/>
                <w:highlight w:val="none"/>
                <w:lang w:val="en-US" w:eastAsia="zh-CN"/>
              </w:rPr>
              <w:t>不合格产品</w:t>
            </w:r>
            <w:r>
              <w:rPr>
                <w:rFonts w:hint="eastAsia" w:ascii="Calibri" w:hAnsi="Calibri"/>
                <w:color w:val="auto"/>
                <w:sz w:val="18"/>
                <w:szCs w:val="18"/>
                <w:highlight w:val="none"/>
              </w:rPr>
              <w:t>回收利用率</w:t>
            </w:r>
          </w:p>
        </w:tc>
        <w:tc>
          <w:tcPr>
            <w:tcW w:w="768" w:type="dxa"/>
            <w:shd w:val="clear" w:color="auto" w:fill="auto"/>
            <w:vAlign w:val="center"/>
          </w:tcPr>
          <w:p>
            <w:pPr>
              <w:jc w:val="center"/>
              <w:rPr>
                <w:rFonts w:hint="eastAsia" w:eastAsia="宋体"/>
                <w:color w:val="000000"/>
                <w:spacing w:val="-4"/>
                <w:sz w:val="18"/>
                <w:szCs w:val="18"/>
                <w:lang w:val="en-US" w:eastAsia="zh-CN"/>
              </w:rPr>
            </w:pPr>
            <w:r>
              <w:rPr>
                <w:rFonts w:hint="eastAsia"/>
                <w:color w:val="000000"/>
                <w:spacing w:val="-4"/>
                <w:sz w:val="18"/>
                <w:szCs w:val="18"/>
                <w:lang w:val="en-US" w:eastAsia="zh-CN"/>
              </w:rPr>
              <w:t>%</w:t>
            </w:r>
          </w:p>
        </w:tc>
        <w:tc>
          <w:tcPr>
            <w:tcW w:w="2658" w:type="dxa"/>
            <w:gridSpan w:val="2"/>
            <w:shd w:val="clear" w:color="auto" w:fill="auto"/>
            <w:vAlign w:val="center"/>
          </w:tcPr>
          <w:p>
            <w:pPr>
              <w:jc w:val="center"/>
              <w:rPr>
                <w:rFonts w:hint="default" w:eastAsia="宋体"/>
                <w:color w:val="000000"/>
                <w:spacing w:val="-4"/>
                <w:sz w:val="18"/>
                <w:szCs w:val="18"/>
                <w:lang w:val="en-US" w:eastAsia="zh-CN"/>
              </w:rPr>
            </w:pPr>
            <w:r>
              <w:rPr>
                <w:rFonts w:hint="eastAsia"/>
                <w:color w:val="auto"/>
                <w:sz w:val="18"/>
                <w:szCs w:val="18"/>
                <w:highlight w:val="none"/>
              </w:rPr>
              <w:t>≥</w:t>
            </w:r>
            <w:r>
              <w:rPr>
                <w:rFonts w:hint="eastAsia"/>
                <w:color w:val="000000"/>
                <w:spacing w:val="-4"/>
                <w:sz w:val="18"/>
                <w:szCs w:val="18"/>
                <w:lang w:val="en-US" w:eastAsia="zh-CN"/>
              </w:rPr>
              <w:t>96</w:t>
            </w:r>
          </w:p>
        </w:tc>
        <w:tc>
          <w:tcPr>
            <w:tcW w:w="865" w:type="dxa"/>
            <w:shd w:val="clear" w:color="auto" w:fill="auto"/>
            <w:vAlign w:val="center"/>
          </w:tcPr>
          <w:p>
            <w:pPr>
              <w:jc w:val="center"/>
              <w:rPr>
                <w:rFonts w:hint="default" w:eastAsia="宋体"/>
                <w:color w:val="000000"/>
                <w:spacing w:val="-4"/>
                <w:sz w:val="18"/>
                <w:szCs w:val="18"/>
                <w:lang w:val="en-US" w:eastAsia="zh-CN"/>
              </w:rPr>
            </w:pPr>
            <w:r>
              <w:rPr>
                <w:rFonts w:hint="eastAsia"/>
                <w:color w:val="000000"/>
                <w:spacing w:val="-4"/>
                <w:sz w:val="18"/>
                <w:szCs w:val="18"/>
                <w:lang w:val="en-US" w:eastAsia="zh-CN"/>
              </w:rPr>
              <w:t>99.8</w:t>
            </w:r>
          </w:p>
        </w:tc>
        <w:tc>
          <w:tcPr>
            <w:tcW w:w="933" w:type="dxa"/>
            <w:shd w:val="clear" w:color="auto" w:fill="auto"/>
            <w:vAlign w:val="center"/>
          </w:tcPr>
          <w:p>
            <w:pPr>
              <w:spacing w:line="276" w:lineRule="auto"/>
              <w:jc w:val="center"/>
              <w:rPr>
                <w:color w:val="000000" w:themeColor="text1"/>
                <w:spacing w:val="-4"/>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r>
              <w:rPr>
                <w:rFonts w:hint="eastAsia"/>
                <w:color w:val="000000" w:themeColor="text1"/>
                <w:sz w:val="18"/>
                <w:szCs w:val="18"/>
                <w:lang w:val="en-US" w:eastAsia="zh-CN"/>
                <w14:textFill>
                  <w14:solidFill>
                    <w14:schemeClr w14:val="tx1"/>
                  </w14:solidFill>
                </w14:textFill>
              </w:rPr>
              <w:t>5</w:t>
            </w:r>
          </w:p>
        </w:tc>
        <w:tc>
          <w:tcPr>
            <w:tcW w:w="933" w:type="dxa"/>
            <w:shd w:val="clear" w:color="auto" w:fill="auto"/>
            <w:vAlign w:val="center"/>
          </w:tcPr>
          <w:p>
            <w:pPr>
              <w:spacing w:line="276" w:lineRule="auto"/>
              <w:jc w:val="center"/>
              <w:rPr>
                <w:color w:val="000000" w:themeColor="text1"/>
                <w:spacing w:val="-4"/>
                <w:sz w:val="18"/>
                <w:szCs w:val="18"/>
                <w14:textFill>
                  <w14:solidFill>
                    <w14:schemeClr w14:val="tx1"/>
                  </w14:solidFill>
                </w14:textFill>
              </w:rPr>
            </w:pPr>
            <w:r>
              <w:rPr>
                <w:color w:val="000000" w:themeColor="text1"/>
                <w:sz w:val="18"/>
                <w:szCs w:val="18"/>
                <w14:textFill>
                  <w14:solidFill>
                    <w14:schemeClr w14:val="tx1"/>
                  </w14:solidFill>
                </w14:textFill>
              </w:rPr>
              <w:t>99</w:t>
            </w:r>
          </w:p>
        </w:tc>
        <w:tc>
          <w:tcPr>
            <w:tcW w:w="933" w:type="dxa"/>
            <w:shd w:val="clear" w:color="auto" w:fill="auto"/>
            <w:vAlign w:val="center"/>
          </w:tcPr>
          <w:p>
            <w:pPr>
              <w:spacing w:line="276" w:lineRule="auto"/>
              <w:jc w:val="center"/>
              <w:rPr>
                <w:color w:val="000000" w:themeColor="text1"/>
                <w:spacing w:val="-4"/>
                <w:sz w:val="18"/>
                <w:szCs w:val="18"/>
                <w14:textFill>
                  <w14:solidFill>
                    <w14:schemeClr w14:val="tx1"/>
                  </w14:solidFill>
                </w14:textFill>
              </w:rPr>
            </w:pPr>
            <w:r>
              <w:rPr>
                <w:rFonts w:hint="eastAsia"/>
                <w:color w:val="000000" w:themeColor="text1"/>
                <w:sz w:val="18"/>
                <w:szCs w:val="18"/>
                <w14:textFill>
                  <w14:solidFill>
                    <w14:schemeClr w14:val="tx1"/>
                  </w14:solidFill>
                </w14:textFill>
              </w:rPr>
              <w:t>98</w:t>
            </w:r>
          </w:p>
        </w:tc>
        <w:tc>
          <w:tcPr>
            <w:tcW w:w="933" w:type="dxa"/>
            <w:shd w:val="clear" w:color="auto" w:fill="auto"/>
            <w:vAlign w:val="center"/>
          </w:tcPr>
          <w:p>
            <w:pPr>
              <w:spacing w:line="276" w:lineRule="auto"/>
              <w:jc w:val="center"/>
              <w:rPr>
                <w:rFonts w:hint="default" w:ascii="Times New Roman" w:hAnsi="Times New Roman" w:eastAsia="宋体" w:cs="Times New Roman"/>
                <w:color w:val="000000"/>
                <w:spacing w:val="-4"/>
                <w:kern w:val="2"/>
                <w:sz w:val="18"/>
                <w:szCs w:val="18"/>
                <w:lang w:val="en-US" w:eastAsia="zh-CN" w:bidi="ar-SA"/>
              </w:rPr>
            </w:pPr>
            <w:r>
              <w:rPr>
                <w:rFonts w:hint="eastAsia" w:cs="Times New Roman"/>
                <w:color w:val="000000"/>
                <w:spacing w:val="-4"/>
                <w:kern w:val="2"/>
                <w:sz w:val="18"/>
                <w:szCs w:val="18"/>
                <w:lang w:val="en-US" w:eastAsia="zh-CN" w:bidi="ar-SA"/>
              </w:rPr>
              <w:t>98</w:t>
            </w:r>
          </w:p>
        </w:tc>
        <w:tc>
          <w:tcPr>
            <w:tcW w:w="933" w:type="dxa"/>
            <w:shd w:val="clear" w:color="auto" w:fill="auto"/>
            <w:vAlign w:val="center"/>
          </w:tcPr>
          <w:p>
            <w:pPr>
              <w:spacing w:line="276" w:lineRule="auto"/>
              <w:jc w:val="center"/>
              <w:rPr>
                <w:color w:val="000000"/>
                <w:spacing w:val="-4"/>
                <w:sz w:val="18"/>
                <w:szCs w:val="18"/>
              </w:rPr>
            </w:pPr>
            <w:r>
              <w:rPr>
                <w:rFonts w:hint="eastAsia"/>
                <w:sz w:val="18"/>
                <w:szCs w:val="18"/>
              </w:rPr>
              <w:t>9</w:t>
            </w:r>
            <w:r>
              <w:rPr>
                <w:sz w:val="18"/>
                <w:szCs w:val="18"/>
              </w:rPr>
              <w:t>8</w:t>
            </w:r>
          </w:p>
        </w:tc>
        <w:tc>
          <w:tcPr>
            <w:tcW w:w="933" w:type="dxa"/>
            <w:shd w:val="clear" w:color="auto" w:fill="auto"/>
            <w:vAlign w:val="center"/>
          </w:tcPr>
          <w:p>
            <w:pPr>
              <w:spacing w:line="276" w:lineRule="auto"/>
              <w:jc w:val="center"/>
              <w:rPr>
                <w:color w:val="000000"/>
                <w:spacing w:val="-4"/>
                <w:sz w:val="18"/>
                <w:szCs w:val="18"/>
              </w:rPr>
            </w:pPr>
            <w:r>
              <w:rPr>
                <w:rFonts w:hint="eastAsia"/>
                <w:color w:val="auto"/>
                <w:sz w:val="18"/>
                <w:szCs w:val="18"/>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1318" w:type="dxa"/>
            <w:vMerge w:val="continue"/>
            <w:shd w:val="clear" w:color="auto" w:fill="auto"/>
            <w:vAlign w:val="center"/>
          </w:tcPr>
          <w:p>
            <w:pPr>
              <w:spacing w:line="276" w:lineRule="auto"/>
              <w:jc w:val="center"/>
              <w:rPr>
                <w:rFonts w:hint="eastAsia" w:ascii="Calibri" w:hAnsi="Calibri"/>
                <w:color w:val="auto"/>
                <w:sz w:val="18"/>
                <w:szCs w:val="18"/>
                <w:highlight w:val="none"/>
              </w:rPr>
            </w:pPr>
          </w:p>
        </w:tc>
        <w:tc>
          <w:tcPr>
            <w:tcW w:w="2044" w:type="dxa"/>
            <w:shd w:val="clear" w:color="auto" w:fill="auto"/>
            <w:vAlign w:val="center"/>
          </w:tcPr>
          <w:p>
            <w:pPr>
              <w:spacing w:line="276" w:lineRule="auto"/>
              <w:jc w:val="center"/>
              <w:rPr>
                <w:color w:val="000000"/>
                <w:spacing w:val="-4"/>
                <w:sz w:val="18"/>
                <w:szCs w:val="18"/>
              </w:rPr>
            </w:pPr>
            <w:r>
              <w:rPr>
                <w:rFonts w:hint="eastAsia" w:ascii="Calibri" w:hAnsi="Calibri"/>
                <w:color w:val="auto"/>
                <w:sz w:val="18"/>
                <w:szCs w:val="18"/>
                <w:highlight w:val="none"/>
              </w:rPr>
              <w:t>工业废水回收利用率</w:t>
            </w:r>
          </w:p>
        </w:tc>
        <w:tc>
          <w:tcPr>
            <w:tcW w:w="768" w:type="dxa"/>
            <w:shd w:val="clear" w:color="auto" w:fill="auto"/>
            <w:vAlign w:val="center"/>
          </w:tcPr>
          <w:p>
            <w:pPr>
              <w:jc w:val="center"/>
              <w:rPr>
                <w:rFonts w:hint="eastAsia" w:eastAsia="宋体"/>
                <w:color w:val="000000"/>
                <w:spacing w:val="-4"/>
                <w:sz w:val="18"/>
                <w:szCs w:val="18"/>
                <w:lang w:val="en-US" w:eastAsia="zh-CN"/>
              </w:rPr>
            </w:pPr>
            <w:r>
              <w:rPr>
                <w:rFonts w:hint="eastAsia"/>
                <w:color w:val="000000"/>
                <w:spacing w:val="-4"/>
                <w:sz w:val="18"/>
                <w:szCs w:val="18"/>
                <w:lang w:val="en-US" w:eastAsia="zh-CN"/>
              </w:rPr>
              <w:t>%</w:t>
            </w:r>
          </w:p>
        </w:tc>
        <w:tc>
          <w:tcPr>
            <w:tcW w:w="2658" w:type="dxa"/>
            <w:gridSpan w:val="2"/>
            <w:shd w:val="clear" w:color="auto" w:fill="auto"/>
            <w:vAlign w:val="center"/>
          </w:tcPr>
          <w:p>
            <w:pPr>
              <w:jc w:val="center"/>
              <w:rPr>
                <w:rFonts w:hint="default" w:eastAsia="宋体"/>
                <w:color w:val="000000"/>
                <w:spacing w:val="-4"/>
                <w:sz w:val="18"/>
                <w:szCs w:val="18"/>
                <w:lang w:val="en-US" w:eastAsia="zh-CN"/>
              </w:rPr>
            </w:pPr>
            <w:r>
              <w:rPr>
                <w:rFonts w:hint="eastAsia"/>
                <w:color w:val="000000"/>
                <w:spacing w:val="-4"/>
                <w:sz w:val="18"/>
                <w:szCs w:val="18"/>
                <w:lang w:val="en-US" w:eastAsia="zh-CN"/>
              </w:rPr>
              <w:t>100</w:t>
            </w:r>
          </w:p>
        </w:tc>
        <w:tc>
          <w:tcPr>
            <w:tcW w:w="865" w:type="dxa"/>
            <w:shd w:val="clear" w:color="auto" w:fill="auto"/>
            <w:vAlign w:val="center"/>
          </w:tcPr>
          <w:p>
            <w:pPr>
              <w:jc w:val="center"/>
              <w:rPr>
                <w:rFonts w:hint="default" w:eastAsia="宋体"/>
                <w:color w:val="000000"/>
                <w:spacing w:val="-4"/>
                <w:sz w:val="18"/>
                <w:szCs w:val="18"/>
                <w:lang w:val="en-US" w:eastAsia="zh-CN"/>
              </w:rPr>
            </w:pPr>
            <w:r>
              <w:rPr>
                <w:rFonts w:hint="eastAsia"/>
                <w:color w:val="000000"/>
                <w:spacing w:val="-4"/>
                <w:sz w:val="18"/>
                <w:szCs w:val="18"/>
                <w:lang w:val="en-US" w:eastAsia="zh-CN"/>
              </w:rPr>
              <w:t>100</w:t>
            </w:r>
          </w:p>
        </w:tc>
        <w:tc>
          <w:tcPr>
            <w:tcW w:w="933" w:type="dxa"/>
            <w:shd w:val="clear" w:color="auto" w:fill="auto"/>
            <w:vAlign w:val="center"/>
          </w:tcPr>
          <w:p>
            <w:pPr>
              <w:spacing w:line="276" w:lineRule="auto"/>
              <w:jc w:val="center"/>
              <w:rPr>
                <w:color w:val="000000" w:themeColor="text1"/>
                <w:spacing w:val="-4"/>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90</w:t>
            </w:r>
          </w:p>
        </w:tc>
        <w:tc>
          <w:tcPr>
            <w:tcW w:w="933" w:type="dxa"/>
            <w:shd w:val="clear" w:color="auto" w:fill="auto"/>
            <w:vAlign w:val="center"/>
          </w:tcPr>
          <w:p>
            <w:pPr>
              <w:spacing w:line="276" w:lineRule="auto"/>
              <w:jc w:val="center"/>
              <w:rPr>
                <w:color w:val="000000" w:themeColor="text1"/>
                <w:spacing w:val="-4"/>
                <w:sz w:val="18"/>
                <w:szCs w:val="18"/>
                <w14:textFill>
                  <w14:solidFill>
                    <w14:schemeClr w14:val="tx1"/>
                  </w14:solidFill>
                </w14:textFill>
              </w:rPr>
            </w:pPr>
            <w:r>
              <w:rPr>
                <w:color w:val="000000" w:themeColor="text1"/>
                <w:sz w:val="18"/>
                <w:szCs w:val="18"/>
                <w14:textFill>
                  <w14:solidFill>
                    <w14:schemeClr w14:val="tx1"/>
                  </w14:solidFill>
                </w14:textFill>
              </w:rPr>
              <w:t>100</w:t>
            </w:r>
          </w:p>
        </w:tc>
        <w:tc>
          <w:tcPr>
            <w:tcW w:w="933" w:type="dxa"/>
            <w:shd w:val="clear" w:color="auto" w:fill="auto"/>
            <w:vAlign w:val="center"/>
          </w:tcPr>
          <w:p>
            <w:pPr>
              <w:spacing w:line="276" w:lineRule="auto"/>
              <w:jc w:val="center"/>
              <w:rPr>
                <w:color w:val="000000" w:themeColor="text1"/>
                <w:spacing w:val="-4"/>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933" w:type="dxa"/>
            <w:shd w:val="clear" w:color="auto" w:fill="auto"/>
            <w:vAlign w:val="center"/>
          </w:tcPr>
          <w:p>
            <w:pPr>
              <w:spacing w:line="276" w:lineRule="auto"/>
              <w:jc w:val="center"/>
              <w:rPr>
                <w:rFonts w:hint="default" w:ascii="Times New Roman" w:hAnsi="Times New Roman" w:eastAsia="宋体" w:cs="Times New Roman"/>
                <w:color w:val="000000"/>
                <w:spacing w:val="-4"/>
                <w:kern w:val="2"/>
                <w:sz w:val="18"/>
                <w:szCs w:val="18"/>
                <w:lang w:val="en-US" w:eastAsia="zh-CN" w:bidi="ar-SA"/>
              </w:rPr>
            </w:pPr>
            <w:r>
              <w:rPr>
                <w:rFonts w:hint="eastAsia" w:cs="Times New Roman"/>
                <w:color w:val="000000"/>
                <w:spacing w:val="-4"/>
                <w:kern w:val="2"/>
                <w:sz w:val="18"/>
                <w:szCs w:val="18"/>
                <w:lang w:val="en-US" w:eastAsia="zh-CN" w:bidi="ar-SA"/>
              </w:rPr>
              <w:t>100</w:t>
            </w:r>
          </w:p>
        </w:tc>
        <w:tc>
          <w:tcPr>
            <w:tcW w:w="933" w:type="dxa"/>
            <w:shd w:val="clear" w:color="auto" w:fill="auto"/>
            <w:vAlign w:val="center"/>
          </w:tcPr>
          <w:p>
            <w:pPr>
              <w:spacing w:line="276" w:lineRule="auto"/>
              <w:jc w:val="center"/>
              <w:rPr>
                <w:color w:val="000000"/>
                <w:spacing w:val="-4"/>
                <w:sz w:val="18"/>
                <w:szCs w:val="18"/>
              </w:rPr>
            </w:pPr>
            <w:r>
              <w:rPr>
                <w:rFonts w:hint="eastAsia"/>
                <w:sz w:val="18"/>
                <w:szCs w:val="18"/>
              </w:rPr>
              <w:t>1</w:t>
            </w:r>
            <w:r>
              <w:rPr>
                <w:sz w:val="18"/>
                <w:szCs w:val="18"/>
              </w:rPr>
              <w:t>00</w:t>
            </w:r>
          </w:p>
        </w:tc>
        <w:tc>
          <w:tcPr>
            <w:tcW w:w="933" w:type="dxa"/>
            <w:shd w:val="clear" w:color="auto" w:fill="auto"/>
            <w:vAlign w:val="center"/>
          </w:tcPr>
          <w:p>
            <w:pPr>
              <w:spacing w:line="276" w:lineRule="auto"/>
              <w:jc w:val="center"/>
              <w:rPr>
                <w:color w:val="000000"/>
                <w:spacing w:val="-4"/>
                <w:sz w:val="18"/>
                <w:szCs w:val="18"/>
              </w:rPr>
            </w:pPr>
            <w:r>
              <w:rPr>
                <w:rFonts w:hint="eastAsia"/>
                <w:color w:val="auto"/>
                <w:sz w:val="18"/>
                <w:szCs w:val="18"/>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318" w:type="dxa"/>
            <w:vMerge w:val="restart"/>
            <w:shd w:val="clear" w:color="auto" w:fill="auto"/>
            <w:vAlign w:val="center"/>
          </w:tcPr>
          <w:p>
            <w:pPr>
              <w:jc w:val="center"/>
              <w:rPr>
                <w:rFonts w:hint="default"/>
                <w:color w:val="000000"/>
                <w:spacing w:val="-4"/>
                <w:sz w:val="18"/>
                <w:szCs w:val="18"/>
                <w:lang w:val="en-US" w:eastAsia="zh-CN"/>
              </w:rPr>
            </w:pPr>
            <w:r>
              <w:rPr>
                <w:rFonts w:hint="eastAsia"/>
                <w:color w:val="000000"/>
                <w:spacing w:val="-4"/>
                <w:sz w:val="18"/>
                <w:szCs w:val="18"/>
                <w:lang w:val="en-US" w:eastAsia="zh-CN"/>
              </w:rPr>
              <w:t>能源属性</w:t>
            </w:r>
          </w:p>
        </w:tc>
        <w:tc>
          <w:tcPr>
            <w:tcW w:w="2044" w:type="dxa"/>
            <w:vMerge w:val="restart"/>
            <w:shd w:val="clear" w:color="auto" w:fill="auto"/>
            <w:vAlign w:val="center"/>
          </w:tcPr>
          <w:p>
            <w:pPr>
              <w:jc w:val="center"/>
              <w:rPr>
                <w:rFonts w:hint="default" w:eastAsia="宋体"/>
                <w:color w:val="000000"/>
                <w:spacing w:val="-4"/>
                <w:sz w:val="18"/>
                <w:szCs w:val="18"/>
                <w:lang w:val="en-US" w:eastAsia="zh-CN"/>
              </w:rPr>
            </w:pPr>
            <w:r>
              <w:rPr>
                <w:rFonts w:hint="eastAsia"/>
                <w:color w:val="000000"/>
                <w:spacing w:val="-4"/>
                <w:sz w:val="18"/>
                <w:szCs w:val="18"/>
                <w:lang w:val="en-US" w:eastAsia="zh-CN"/>
              </w:rPr>
              <w:t>单位产品能耗</w:t>
            </w:r>
          </w:p>
        </w:tc>
        <w:tc>
          <w:tcPr>
            <w:tcW w:w="768" w:type="dxa"/>
            <w:vMerge w:val="restart"/>
            <w:shd w:val="clear" w:color="auto" w:fill="auto"/>
            <w:vAlign w:val="center"/>
          </w:tcPr>
          <w:p>
            <w:pPr>
              <w:jc w:val="center"/>
              <w:rPr>
                <w:rFonts w:hint="eastAsia" w:eastAsia="宋体"/>
                <w:color w:val="000000"/>
                <w:spacing w:val="-4"/>
                <w:sz w:val="18"/>
                <w:szCs w:val="18"/>
                <w:lang w:val="en-US" w:eastAsia="zh-CN"/>
              </w:rPr>
            </w:pPr>
            <w:r>
              <w:rPr>
                <w:rFonts w:hint="eastAsia"/>
                <w:color w:val="000000"/>
                <w:spacing w:val="-4"/>
                <w:sz w:val="18"/>
                <w:szCs w:val="18"/>
                <w:lang w:val="en-US" w:eastAsia="zh-CN"/>
              </w:rPr>
              <w:t>kgce/t</w:t>
            </w:r>
          </w:p>
        </w:tc>
        <w:tc>
          <w:tcPr>
            <w:tcW w:w="2117" w:type="dxa"/>
            <w:shd w:val="clear" w:color="auto" w:fill="auto"/>
            <w:vAlign w:val="center"/>
          </w:tcPr>
          <w:p>
            <w:pPr>
              <w:spacing w:line="276" w:lineRule="auto"/>
              <w:jc w:val="center"/>
              <w:rPr>
                <w:color w:val="000000"/>
                <w:spacing w:val="-4"/>
                <w:sz w:val="18"/>
                <w:szCs w:val="18"/>
              </w:rPr>
            </w:pPr>
            <w:r>
              <w:rPr>
                <w:rFonts w:hint="eastAsia"/>
                <w:color w:val="auto"/>
                <w:sz w:val="18"/>
                <w:szCs w:val="18"/>
                <w:highlight w:val="none"/>
                <w:lang w:val="en-US" w:eastAsia="zh-CN"/>
              </w:rPr>
              <w:t>未实现全流程自动化</w:t>
            </w:r>
          </w:p>
        </w:tc>
        <w:tc>
          <w:tcPr>
            <w:tcW w:w="541" w:type="dxa"/>
            <w:shd w:val="clear" w:color="auto" w:fill="auto"/>
            <w:vAlign w:val="center"/>
          </w:tcPr>
          <w:p>
            <w:pPr>
              <w:jc w:val="center"/>
              <w:rPr>
                <w:rFonts w:hint="default" w:eastAsia="宋体"/>
                <w:color w:val="000000"/>
                <w:spacing w:val="-4"/>
                <w:sz w:val="18"/>
                <w:szCs w:val="18"/>
                <w:lang w:val="en-US" w:eastAsia="zh-CN"/>
              </w:rPr>
            </w:pPr>
            <w:r>
              <w:rPr>
                <w:rFonts w:hint="eastAsia"/>
                <w:color w:val="000000"/>
                <w:spacing w:val="-4"/>
                <w:sz w:val="18"/>
                <w:szCs w:val="18"/>
                <w:lang w:val="en-US" w:eastAsia="zh-CN"/>
              </w:rPr>
              <w:t>30</w:t>
            </w:r>
          </w:p>
        </w:tc>
        <w:tc>
          <w:tcPr>
            <w:tcW w:w="865" w:type="dxa"/>
            <w:vMerge w:val="restart"/>
            <w:shd w:val="clear" w:color="auto" w:fill="auto"/>
            <w:vAlign w:val="center"/>
          </w:tcPr>
          <w:p>
            <w:pPr>
              <w:jc w:val="center"/>
              <w:rPr>
                <w:rFonts w:hint="default" w:eastAsia="宋体"/>
                <w:color w:val="000000"/>
                <w:spacing w:val="-4"/>
                <w:sz w:val="18"/>
                <w:szCs w:val="18"/>
                <w:lang w:val="en-US" w:eastAsia="zh-CN"/>
              </w:rPr>
            </w:pPr>
            <w:r>
              <w:rPr>
                <w:rFonts w:hint="eastAsia"/>
                <w:color w:val="000000"/>
                <w:spacing w:val="-4"/>
                <w:sz w:val="18"/>
                <w:szCs w:val="18"/>
                <w:lang w:val="en-US" w:eastAsia="zh-CN"/>
              </w:rPr>
              <w:t>28</w:t>
            </w:r>
          </w:p>
        </w:tc>
        <w:tc>
          <w:tcPr>
            <w:tcW w:w="933" w:type="dxa"/>
            <w:vMerge w:val="restart"/>
            <w:shd w:val="clear" w:color="auto" w:fill="auto"/>
            <w:vAlign w:val="center"/>
          </w:tcPr>
          <w:p>
            <w:pPr>
              <w:jc w:val="center"/>
              <w:rPr>
                <w:rFonts w:hint="default" w:eastAsia="宋体"/>
                <w:color w:val="000000" w:themeColor="text1"/>
                <w:spacing w:val="-4"/>
                <w:sz w:val="18"/>
                <w:szCs w:val="18"/>
                <w:lang w:val="en-US" w:eastAsia="zh-CN"/>
                <w14:textFill>
                  <w14:solidFill>
                    <w14:schemeClr w14:val="tx1"/>
                  </w14:solidFill>
                </w14:textFill>
              </w:rPr>
            </w:pPr>
            <w:r>
              <w:rPr>
                <w:rFonts w:hint="eastAsia"/>
                <w:color w:val="000000" w:themeColor="text1"/>
                <w:spacing w:val="-4"/>
                <w:sz w:val="18"/>
                <w:szCs w:val="18"/>
                <w:lang w:val="en-US" w:eastAsia="zh-CN"/>
                <w14:textFill>
                  <w14:solidFill>
                    <w14:schemeClr w14:val="tx1"/>
                  </w14:solidFill>
                </w14:textFill>
              </w:rPr>
              <w:t>30</w:t>
            </w:r>
          </w:p>
        </w:tc>
        <w:tc>
          <w:tcPr>
            <w:tcW w:w="933" w:type="dxa"/>
            <w:vMerge w:val="restart"/>
            <w:shd w:val="clear" w:color="auto" w:fill="auto"/>
            <w:vAlign w:val="center"/>
          </w:tcPr>
          <w:p>
            <w:pPr>
              <w:jc w:val="center"/>
              <w:rPr>
                <w:rFonts w:hint="default" w:eastAsia="宋体"/>
                <w:color w:val="000000" w:themeColor="text1"/>
                <w:spacing w:val="-4"/>
                <w:sz w:val="18"/>
                <w:szCs w:val="18"/>
                <w:lang w:val="en-US" w:eastAsia="zh-CN"/>
                <w14:textFill>
                  <w14:solidFill>
                    <w14:schemeClr w14:val="tx1"/>
                  </w14:solidFill>
                </w14:textFill>
              </w:rPr>
            </w:pPr>
            <w:r>
              <w:rPr>
                <w:rFonts w:hint="eastAsia"/>
                <w:color w:val="000000" w:themeColor="text1"/>
                <w:spacing w:val="-4"/>
                <w:sz w:val="18"/>
                <w:szCs w:val="18"/>
                <w:lang w:val="en-US" w:eastAsia="zh-CN"/>
                <w14:textFill>
                  <w14:solidFill>
                    <w14:schemeClr w14:val="tx1"/>
                  </w14:solidFill>
                </w14:textFill>
              </w:rPr>
              <w:t>30</w:t>
            </w:r>
          </w:p>
        </w:tc>
        <w:tc>
          <w:tcPr>
            <w:tcW w:w="933" w:type="dxa"/>
            <w:vMerge w:val="restart"/>
            <w:shd w:val="clear" w:color="auto" w:fill="auto"/>
            <w:vAlign w:val="center"/>
          </w:tcPr>
          <w:p>
            <w:pPr>
              <w:jc w:val="center"/>
              <w:rPr>
                <w:rFonts w:hint="default" w:eastAsia="宋体"/>
                <w:color w:val="000000" w:themeColor="text1"/>
                <w:spacing w:val="-4"/>
                <w:sz w:val="18"/>
                <w:szCs w:val="18"/>
                <w:lang w:val="en-US" w:eastAsia="zh-CN"/>
                <w14:textFill>
                  <w14:solidFill>
                    <w14:schemeClr w14:val="tx1"/>
                  </w14:solidFill>
                </w14:textFill>
              </w:rPr>
            </w:pPr>
            <w:r>
              <w:rPr>
                <w:rFonts w:hint="eastAsia"/>
                <w:color w:val="000000" w:themeColor="text1"/>
                <w:spacing w:val="-4"/>
                <w:sz w:val="18"/>
                <w:szCs w:val="18"/>
                <w:lang w:val="en-US" w:eastAsia="zh-CN"/>
                <w14:textFill>
                  <w14:solidFill>
                    <w14:schemeClr w14:val="tx1"/>
                  </w14:solidFill>
                </w14:textFill>
              </w:rPr>
              <w:t>40</w:t>
            </w:r>
          </w:p>
        </w:tc>
        <w:tc>
          <w:tcPr>
            <w:tcW w:w="933" w:type="dxa"/>
            <w:vMerge w:val="restart"/>
            <w:shd w:val="clear" w:color="auto" w:fill="auto"/>
            <w:vAlign w:val="center"/>
          </w:tcPr>
          <w:p>
            <w:pPr>
              <w:jc w:val="center"/>
              <w:rPr>
                <w:rFonts w:hint="default" w:eastAsia="宋体"/>
                <w:color w:val="000000"/>
                <w:spacing w:val="-4"/>
                <w:sz w:val="18"/>
                <w:szCs w:val="18"/>
                <w:lang w:val="en-US" w:eastAsia="zh-CN"/>
              </w:rPr>
            </w:pPr>
            <w:r>
              <w:rPr>
                <w:rFonts w:hint="eastAsia"/>
                <w:color w:val="000000"/>
                <w:spacing w:val="-4"/>
                <w:sz w:val="18"/>
                <w:szCs w:val="18"/>
                <w:lang w:val="en-US" w:eastAsia="zh-CN"/>
              </w:rPr>
              <w:t>30</w:t>
            </w:r>
          </w:p>
        </w:tc>
        <w:tc>
          <w:tcPr>
            <w:tcW w:w="933" w:type="dxa"/>
            <w:vMerge w:val="restart"/>
            <w:shd w:val="clear" w:color="auto" w:fill="auto"/>
            <w:vAlign w:val="center"/>
          </w:tcPr>
          <w:p>
            <w:pPr>
              <w:jc w:val="center"/>
              <w:rPr>
                <w:rFonts w:hint="default" w:eastAsia="宋体"/>
                <w:color w:val="000000"/>
                <w:spacing w:val="-4"/>
                <w:sz w:val="18"/>
                <w:szCs w:val="18"/>
                <w:lang w:val="en-US" w:eastAsia="zh-CN"/>
              </w:rPr>
            </w:pPr>
            <w:r>
              <w:rPr>
                <w:rFonts w:hint="eastAsia"/>
                <w:color w:val="000000"/>
                <w:spacing w:val="-4"/>
                <w:sz w:val="18"/>
                <w:szCs w:val="18"/>
                <w:lang w:val="en-US" w:eastAsia="zh-CN"/>
              </w:rPr>
              <w:t>30</w:t>
            </w:r>
          </w:p>
        </w:tc>
        <w:tc>
          <w:tcPr>
            <w:tcW w:w="933" w:type="dxa"/>
            <w:vMerge w:val="restart"/>
            <w:shd w:val="clear" w:color="auto" w:fill="auto"/>
            <w:vAlign w:val="center"/>
          </w:tcPr>
          <w:p>
            <w:pPr>
              <w:jc w:val="center"/>
              <w:rPr>
                <w:rFonts w:hint="default" w:eastAsia="宋体"/>
                <w:color w:val="000000"/>
                <w:spacing w:val="-4"/>
                <w:sz w:val="18"/>
                <w:szCs w:val="18"/>
                <w:lang w:val="en-US" w:eastAsia="zh-CN"/>
              </w:rPr>
            </w:pPr>
            <w:r>
              <w:rPr>
                <w:rFonts w:hint="eastAsia"/>
                <w:color w:val="000000"/>
                <w:spacing w:val="-4"/>
                <w:sz w:val="18"/>
                <w:szCs w:val="18"/>
                <w:lang w:val="en-US" w:eastAsia="zh-CN"/>
              </w:rPr>
              <w:t>28.16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318" w:type="dxa"/>
            <w:vMerge w:val="continue"/>
            <w:shd w:val="clear" w:color="auto" w:fill="auto"/>
            <w:vAlign w:val="center"/>
          </w:tcPr>
          <w:p>
            <w:pPr>
              <w:jc w:val="center"/>
              <w:rPr>
                <w:sz w:val="18"/>
                <w:szCs w:val="18"/>
              </w:rPr>
            </w:pPr>
          </w:p>
        </w:tc>
        <w:tc>
          <w:tcPr>
            <w:tcW w:w="2044" w:type="dxa"/>
            <w:vMerge w:val="continue"/>
            <w:shd w:val="clear" w:color="auto" w:fill="auto"/>
            <w:vAlign w:val="center"/>
          </w:tcPr>
          <w:p>
            <w:pPr>
              <w:jc w:val="center"/>
              <w:rPr>
                <w:sz w:val="18"/>
                <w:szCs w:val="18"/>
              </w:rPr>
            </w:pPr>
          </w:p>
        </w:tc>
        <w:tc>
          <w:tcPr>
            <w:tcW w:w="768" w:type="dxa"/>
            <w:vMerge w:val="continue"/>
            <w:shd w:val="clear" w:color="auto" w:fill="auto"/>
            <w:vAlign w:val="center"/>
          </w:tcPr>
          <w:p>
            <w:pPr>
              <w:jc w:val="center"/>
              <w:rPr>
                <w:sz w:val="18"/>
                <w:szCs w:val="18"/>
              </w:rPr>
            </w:pPr>
          </w:p>
        </w:tc>
        <w:tc>
          <w:tcPr>
            <w:tcW w:w="2117" w:type="dxa"/>
            <w:shd w:val="clear" w:color="auto" w:fill="auto"/>
            <w:vAlign w:val="center"/>
          </w:tcPr>
          <w:p>
            <w:pPr>
              <w:spacing w:line="276" w:lineRule="auto"/>
              <w:jc w:val="center"/>
              <w:rPr>
                <w:sz w:val="18"/>
                <w:szCs w:val="18"/>
              </w:rPr>
            </w:pPr>
            <w:r>
              <w:rPr>
                <w:rFonts w:hint="eastAsia"/>
                <w:color w:val="auto"/>
                <w:sz w:val="18"/>
                <w:szCs w:val="18"/>
                <w:highlight w:val="none"/>
                <w:lang w:val="en-US" w:eastAsia="zh-CN"/>
              </w:rPr>
              <w:t>实现全流程自动化</w:t>
            </w:r>
          </w:p>
        </w:tc>
        <w:tc>
          <w:tcPr>
            <w:tcW w:w="541" w:type="dxa"/>
            <w:shd w:val="clear" w:color="auto" w:fill="auto"/>
            <w:vAlign w:val="center"/>
          </w:tcPr>
          <w:p>
            <w:pPr>
              <w:jc w:val="center"/>
              <w:rPr>
                <w:rFonts w:hint="default" w:eastAsia="宋体"/>
                <w:sz w:val="18"/>
                <w:szCs w:val="18"/>
                <w:lang w:val="en-US" w:eastAsia="zh-CN"/>
              </w:rPr>
            </w:pPr>
            <w:r>
              <w:rPr>
                <w:rFonts w:hint="eastAsia"/>
                <w:sz w:val="18"/>
                <w:szCs w:val="18"/>
                <w:lang w:val="en-US" w:eastAsia="zh-CN"/>
              </w:rPr>
              <w:t>35</w:t>
            </w:r>
          </w:p>
        </w:tc>
        <w:tc>
          <w:tcPr>
            <w:tcW w:w="865" w:type="dxa"/>
            <w:vMerge w:val="continue"/>
            <w:shd w:val="clear" w:color="auto" w:fill="auto"/>
            <w:vAlign w:val="center"/>
          </w:tcPr>
          <w:p>
            <w:pPr>
              <w:jc w:val="center"/>
              <w:rPr>
                <w:sz w:val="18"/>
                <w:szCs w:val="18"/>
              </w:rPr>
            </w:pPr>
          </w:p>
        </w:tc>
        <w:tc>
          <w:tcPr>
            <w:tcW w:w="933" w:type="dxa"/>
            <w:vMerge w:val="continue"/>
            <w:shd w:val="clear" w:color="auto" w:fill="auto"/>
            <w:vAlign w:val="center"/>
          </w:tcPr>
          <w:p>
            <w:pPr>
              <w:jc w:val="center"/>
              <w:rPr>
                <w:color w:val="000000" w:themeColor="text1"/>
                <w:sz w:val="18"/>
                <w:szCs w:val="18"/>
                <w14:textFill>
                  <w14:solidFill>
                    <w14:schemeClr w14:val="tx1"/>
                  </w14:solidFill>
                </w14:textFill>
              </w:rPr>
            </w:pPr>
          </w:p>
        </w:tc>
        <w:tc>
          <w:tcPr>
            <w:tcW w:w="933" w:type="dxa"/>
            <w:vMerge w:val="continue"/>
            <w:shd w:val="clear" w:color="auto" w:fill="auto"/>
            <w:vAlign w:val="center"/>
          </w:tcPr>
          <w:p>
            <w:pPr>
              <w:jc w:val="center"/>
              <w:rPr>
                <w:color w:val="000000" w:themeColor="text1"/>
                <w:sz w:val="18"/>
                <w:szCs w:val="18"/>
                <w14:textFill>
                  <w14:solidFill>
                    <w14:schemeClr w14:val="tx1"/>
                  </w14:solidFill>
                </w14:textFill>
              </w:rPr>
            </w:pPr>
          </w:p>
        </w:tc>
        <w:tc>
          <w:tcPr>
            <w:tcW w:w="933" w:type="dxa"/>
            <w:vMerge w:val="continue"/>
            <w:shd w:val="clear" w:color="auto" w:fill="auto"/>
            <w:vAlign w:val="center"/>
          </w:tcPr>
          <w:p>
            <w:pPr>
              <w:jc w:val="center"/>
              <w:rPr>
                <w:color w:val="000000" w:themeColor="text1"/>
                <w:sz w:val="18"/>
                <w:szCs w:val="18"/>
                <w14:textFill>
                  <w14:solidFill>
                    <w14:schemeClr w14:val="tx1"/>
                  </w14:solidFill>
                </w14:textFill>
              </w:rPr>
            </w:pPr>
          </w:p>
        </w:tc>
        <w:tc>
          <w:tcPr>
            <w:tcW w:w="933" w:type="dxa"/>
            <w:vMerge w:val="continue"/>
            <w:shd w:val="clear" w:color="auto" w:fill="auto"/>
            <w:vAlign w:val="center"/>
          </w:tcPr>
          <w:p>
            <w:pPr>
              <w:jc w:val="center"/>
              <w:rPr>
                <w:sz w:val="18"/>
                <w:szCs w:val="18"/>
              </w:rPr>
            </w:pPr>
          </w:p>
        </w:tc>
        <w:tc>
          <w:tcPr>
            <w:tcW w:w="933" w:type="dxa"/>
            <w:vMerge w:val="continue"/>
            <w:shd w:val="clear" w:color="auto" w:fill="auto"/>
            <w:vAlign w:val="center"/>
          </w:tcPr>
          <w:p>
            <w:pPr>
              <w:jc w:val="center"/>
              <w:rPr>
                <w:sz w:val="18"/>
                <w:szCs w:val="18"/>
              </w:rPr>
            </w:pPr>
          </w:p>
        </w:tc>
        <w:tc>
          <w:tcPr>
            <w:tcW w:w="933"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318" w:type="dxa"/>
            <w:vMerge w:val="restart"/>
            <w:shd w:val="clear" w:color="auto" w:fill="auto"/>
            <w:vAlign w:val="center"/>
          </w:tcPr>
          <w:p>
            <w:pPr>
              <w:spacing w:line="276" w:lineRule="auto"/>
              <w:jc w:val="center"/>
              <w:rPr>
                <w:rFonts w:hint="eastAsia" w:eastAsia="宋体"/>
                <w:color w:val="auto"/>
                <w:sz w:val="18"/>
                <w:szCs w:val="18"/>
                <w:highlight w:val="none"/>
                <w:lang w:val="en-US" w:eastAsia="zh-CN"/>
              </w:rPr>
            </w:pPr>
            <w:r>
              <w:rPr>
                <w:rFonts w:hint="eastAsia"/>
                <w:color w:val="auto"/>
                <w:sz w:val="18"/>
                <w:szCs w:val="18"/>
                <w:highlight w:val="none"/>
                <w:lang w:val="en-US" w:eastAsia="zh-CN"/>
              </w:rPr>
              <w:t>环境属性</w:t>
            </w:r>
          </w:p>
        </w:tc>
        <w:tc>
          <w:tcPr>
            <w:tcW w:w="2044" w:type="dxa"/>
            <w:shd w:val="clear" w:color="auto" w:fill="auto"/>
            <w:vAlign w:val="center"/>
          </w:tcPr>
          <w:p>
            <w:pPr>
              <w:spacing w:line="276" w:lineRule="auto"/>
              <w:jc w:val="center"/>
              <w:rPr>
                <w:rFonts w:hint="default" w:eastAsia="宋体"/>
                <w:color w:val="000000"/>
                <w:spacing w:val="-4"/>
                <w:sz w:val="18"/>
                <w:szCs w:val="18"/>
                <w:lang w:val="en-US" w:eastAsia="zh-CN"/>
              </w:rPr>
            </w:pPr>
            <w:r>
              <w:rPr>
                <w:color w:val="auto"/>
                <w:sz w:val="18"/>
                <w:szCs w:val="18"/>
                <w:highlight w:val="none"/>
              </w:rPr>
              <w:t>颗粒物</w:t>
            </w:r>
            <w:r>
              <w:rPr>
                <w:rFonts w:hint="eastAsia"/>
                <w:color w:val="auto"/>
                <w:sz w:val="18"/>
                <w:szCs w:val="18"/>
                <w:highlight w:val="none"/>
                <w:lang w:val="en-US" w:eastAsia="zh-CN"/>
              </w:rPr>
              <w:t>排放浓度</w:t>
            </w:r>
          </w:p>
        </w:tc>
        <w:tc>
          <w:tcPr>
            <w:tcW w:w="768" w:type="dxa"/>
            <w:shd w:val="clear" w:color="auto" w:fill="auto"/>
            <w:vAlign w:val="center"/>
          </w:tcPr>
          <w:p>
            <w:pPr>
              <w:jc w:val="center"/>
              <w:rPr>
                <w:color w:val="000000"/>
                <w:spacing w:val="-4"/>
                <w:sz w:val="18"/>
                <w:szCs w:val="18"/>
              </w:rPr>
            </w:pPr>
            <w:r>
              <w:rPr>
                <w:color w:val="auto"/>
                <w:sz w:val="18"/>
                <w:szCs w:val="18"/>
                <w:highlight w:val="none"/>
              </w:rPr>
              <w:t>mg</w:t>
            </w:r>
            <w:r>
              <w:rPr>
                <w:rFonts w:hint="eastAsia"/>
                <w:color w:val="auto"/>
                <w:sz w:val="18"/>
                <w:szCs w:val="18"/>
                <w:highlight w:val="none"/>
              </w:rPr>
              <w:t>/m</w:t>
            </w:r>
            <w:r>
              <w:rPr>
                <w:rFonts w:hint="eastAsia"/>
                <w:color w:val="auto"/>
                <w:sz w:val="18"/>
                <w:szCs w:val="18"/>
                <w:highlight w:val="none"/>
                <w:vertAlign w:val="superscript"/>
              </w:rPr>
              <w:t>3</w:t>
            </w:r>
          </w:p>
        </w:tc>
        <w:tc>
          <w:tcPr>
            <w:tcW w:w="2658" w:type="dxa"/>
            <w:gridSpan w:val="2"/>
            <w:shd w:val="clear" w:color="auto" w:fill="auto"/>
            <w:vAlign w:val="center"/>
          </w:tcPr>
          <w:p>
            <w:pPr>
              <w:spacing w:line="276" w:lineRule="auto"/>
              <w:jc w:val="center"/>
              <w:rPr>
                <w:color w:val="000000"/>
                <w:spacing w:val="-4"/>
                <w:sz w:val="18"/>
                <w:szCs w:val="18"/>
              </w:rPr>
            </w:pPr>
            <w:r>
              <w:rPr>
                <w:rFonts w:hint="eastAsia"/>
                <w:color w:val="auto"/>
                <w:sz w:val="18"/>
                <w:szCs w:val="18"/>
                <w:highlight w:val="none"/>
              </w:rPr>
              <w:t>≤</w:t>
            </w:r>
            <w:r>
              <w:rPr>
                <w:color w:val="auto"/>
                <w:sz w:val="18"/>
                <w:szCs w:val="18"/>
                <w:highlight w:val="none"/>
              </w:rPr>
              <w:t>10</w:t>
            </w:r>
          </w:p>
        </w:tc>
        <w:tc>
          <w:tcPr>
            <w:tcW w:w="865" w:type="dxa"/>
            <w:shd w:val="clear" w:color="auto" w:fill="auto"/>
            <w:vAlign w:val="center"/>
          </w:tcPr>
          <w:p>
            <w:pPr>
              <w:spacing w:line="276" w:lineRule="auto"/>
              <w:jc w:val="center"/>
              <w:rPr>
                <w:rFonts w:ascii="Times New Roman" w:hAnsi="Times New Roman" w:eastAsia="宋体" w:cs="Times New Roman"/>
                <w:color w:val="000000"/>
                <w:spacing w:val="-4"/>
                <w:kern w:val="2"/>
                <w:sz w:val="18"/>
                <w:szCs w:val="18"/>
                <w:lang w:val="en-US" w:eastAsia="zh-CN" w:bidi="ar-SA"/>
              </w:rPr>
            </w:pPr>
            <w:r>
              <w:rPr>
                <w:rFonts w:hint="eastAsia"/>
                <w:color w:val="auto"/>
                <w:sz w:val="18"/>
                <w:szCs w:val="18"/>
                <w:highlight w:val="none"/>
              </w:rPr>
              <w:t>≤</w:t>
            </w:r>
            <w:r>
              <w:rPr>
                <w:color w:val="auto"/>
                <w:sz w:val="18"/>
                <w:szCs w:val="18"/>
                <w:highlight w:val="none"/>
              </w:rPr>
              <w:t>10</w:t>
            </w:r>
          </w:p>
        </w:tc>
        <w:tc>
          <w:tcPr>
            <w:tcW w:w="933" w:type="dxa"/>
            <w:shd w:val="clear" w:color="auto" w:fill="auto"/>
            <w:vAlign w:val="center"/>
          </w:tcPr>
          <w:p>
            <w:pPr>
              <w:spacing w:line="276" w:lineRule="auto"/>
              <w:jc w:val="center"/>
              <w:rPr>
                <w:color w:val="000000" w:themeColor="text1"/>
                <w:spacing w:val="-4"/>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933" w:type="dxa"/>
            <w:shd w:val="clear" w:color="auto" w:fill="auto"/>
            <w:vAlign w:val="center"/>
          </w:tcPr>
          <w:p>
            <w:pPr>
              <w:spacing w:line="276" w:lineRule="auto"/>
              <w:jc w:val="center"/>
              <w:rPr>
                <w:color w:val="000000" w:themeColor="text1"/>
                <w:spacing w:val="-4"/>
                <w:sz w:val="18"/>
                <w:szCs w:val="18"/>
                <w14:textFill>
                  <w14:solidFill>
                    <w14:schemeClr w14:val="tx1"/>
                  </w14:solidFill>
                </w14:textFill>
              </w:rPr>
            </w:pPr>
            <w:r>
              <w:rPr>
                <w:color w:val="000000" w:themeColor="text1"/>
                <w:sz w:val="18"/>
                <w:szCs w:val="18"/>
                <w14:textFill>
                  <w14:solidFill>
                    <w14:schemeClr w14:val="tx1"/>
                  </w14:solidFill>
                </w14:textFill>
              </w:rPr>
              <w:t>15</w:t>
            </w:r>
          </w:p>
        </w:tc>
        <w:tc>
          <w:tcPr>
            <w:tcW w:w="933" w:type="dxa"/>
            <w:shd w:val="clear" w:color="auto" w:fill="auto"/>
            <w:vAlign w:val="center"/>
          </w:tcPr>
          <w:p>
            <w:pPr>
              <w:spacing w:line="276" w:lineRule="auto"/>
              <w:jc w:val="center"/>
              <w:rPr>
                <w:color w:val="000000" w:themeColor="text1"/>
                <w:spacing w:val="-4"/>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933" w:type="dxa"/>
            <w:shd w:val="clear" w:color="auto" w:fill="auto"/>
            <w:vAlign w:val="center"/>
          </w:tcPr>
          <w:p>
            <w:pPr>
              <w:spacing w:line="276" w:lineRule="auto"/>
              <w:jc w:val="center"/>
              <w:rPr>
                <w:rFonts w:ascii="Times New Roman" w:hAnsi="Times New Roman" w:eastAsia="宋体" w:cs="Times New Roman"/>
                <w:color w:val="000000"/>
                <w:spacing w:val="-4"/>
                <w:kern w:val="2"/>
                <w:sz w:val="18"/>
                <w:szCs w:val="18"/>
                <w:lang w:val="en-US" w:eastAsia="zh-CN" w:bidi="ar-SA"/>
              </w:rPr>
            </w:pPr>
            <w:r>
              <w:rPr>
                <w:rFonts w:hint="eastAsia"/>
                <w:color w:val="000000" w:themeColor="text1"/>
                <w:sz w:val="18"/>
                <w:szCs w:val="18"/>
                <w14:textFill>
                  <w14:solidFill>
                    <w14:schemeClr w14:val="tx1"/>
                  </w14:solidFill>
                </w14:textFill>
              </w:rPr>
              <w:t>10</w:t>
            </w:r>
          </w:p>
        </w:tc>
        <w:tc>
          <w:tcPr>
            <w:tcW w:w="933" w:type="dxa"/>
            <w:shd w:val="clear" w:color="auto" w:fill="auto"/>
            <w:vAlign w:val="center"/>
          </w:tcPr>
          <w:p>
            <w:pPr>
              <w:jc w:val="center"/>
              <w:rPr>
                <w:rFonts w:hint="eastAsia" w:eastAsia="宋体"/>
                <w:color w:val="000000"/>
                <w:spacing w:val="-4"/>
                <w:sz w:val="18"/>
                <w:szCs w:val="18"/>
                <w:lang w:val="en-US" w:eastAsia="zh-CN"/>
              </w:rPr>
            </w:pPr>
            <w:r>
              <w:rPr>
                <w:rFonts w:hint="eastAsia"/>
                <w:color w:val="000000"/>
                <w:spacing w:val="-4"/>
                <w:sz w:val="18"/>
                <w:szCs w:val="18"/>
                <w:lang w:val="en-US" w:eastAsia="zh-CN"/>
              </w:rPr>
              <w:t>9</w:t>
            </w:r>
          </w:p>
        </w:tc>
        <w:tc>
          <w:tcPr>
            <w:tcW w:w="933" w:type="dxa"/>
            <w:shd w:val="clear" w:color="auto" w:fill="auto"/>
            <w:vAlign w:val="center"/>
          </w:tcPr>
          <w:p>
            <w:pPr>
              <w:spacing w:line="276" w:lineRule="auto"/>
              <w:jc w:val="center"/>
              <w:rPr>
                <w:color w:val="000000"/>
                <w:spacing w:val="-4"/>
                <w:sz w:val="18"/>
                <w:szCs w:val="18"/>
              </w:rPr>
            </w:pPr>
            <w:r>
              <w:rPr>
                <w:color w:val="auto"/>
                <w:sz w:val="18"/>
                <w:szCs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1318" w:type="dxa"/>
            <w:vMerge w:val="continue"/>
            <w:shd w:val="clear" w:color="auto" w:fill="auto"/>
            <w:vAlign w:val="center"/>
          </w:tcPr>
          <w:p>
            <w:pPr>
              <w:spacing w:line="276" w:lineRule="auto"/>
              <w:jc w:val="center"/>
              <w:rPr>
                <w:rFonts w:hAnsi="Calibri"/>
                <w:color w:val="auto"/>
                <w:sz w:val="18"/>
                <w:szCs w:val="18"/>
                <w:highlight w:val="none"/>
              </w:rPr>
            </w:pPr>
          </w:p>
        </w:tc>
        <w:tc>
          <w:tcPr>
            <w:tcW w:w="2044" w:type="dxa"/>
            <w:shd w:val="clear" w:color="auto" w:fill="auto"/>
            <w:vAlign w:val="center"/>
          </w:tcPr>
          <w:p>
            <w:pPr>
              <w:spacing w:line="276" w:lineRule="auto"/>
              <w:jc w:val="center"/>
              <w:rPr>
                <w:rFonts w:hint="default" w:eastAsia="宋体"/>
                <w:color w:val="000000"/>
                <w:spacing w:val="-4"/>
                <w:sz w:val="18"/>
                <w:szCs w:val="18"/>
                <w:lang w:val="en-US" w:eastAsia="zh-CN"/>
              </w:rPr>
            </w:pPr>
            <w:r>
              <w:rPr>
                <w:rFonts w:hAnsi="Calibri"/>
                <w:color w:val="auto"/>
                <w:sz w:val="18"/>
                <w:szCs w:val="18"/>
                <w:highlight w:val="none"/>
              </w:rPr>
              <w:t>二氧化硫</w:t>
            </w:r>
            <w:r>
              <w:rPr>
                <w:rFonts w:hint="eastAsia" w:hAnsi="Calibri"/>
                <w:color w:val="auto"/>
                <w:sz w:val="18"/>
                <w:szCs w:val="18"/>
                <w:highlight w:val="none"/>
                <w:lang w:val="en-US" w:eastAsia="zh-CN"/>
              </w:rPr>
              <w:t>排放浓度</w:t>
            </w:r>
          </w:p>
        </w:tc>
        <w:tc>
          <w:tcPr>
            <w:tcW w:w="768" w:type="dxa"/>
            <w:shd w:val="clear" w:color="auto" w:fill="auto"/>
            <w:vAlign w:val="center"/>
          </w:tcPr>
          <w:p>
            <w:pPr>
              <w:jc w:val="center"/>
              <w:rPr>
                <w:color w:val="000000"/>
                <w:spacing w:val="-4"/>
                <w:sz w:val="18"/>
                <w:szCs w:val="18"/>
              </w:rPr>
            </w:pPr>
            <w:r>
              <w:rPr>
                <w:color w:val="auto"/>
                <w:sz w:val="18"/>
                <w:szCs w:val="18"/>
                <w:highlight w:val="none"/>
              </w:rPr>
              <w:t>mg</w:t>
            </w:r>
            <w:r>
              <w:rPr>
                <w:rFonts w:hint="eastAsia"/>
                <w:color w:val="auto"/>
                <w:sz w:val="18"/>
                <w:szCs w:val="18"/>
                <w:highlight w:val="none"/>
              </w:rPr>
              <w:t>/m</w:t>
            </w:r>
            <w:r>
              <w:rPr>
                <w:rFonts w:hint="eastAsia"/>
                <w:color w:val="auto"/>
                <w:sz w:val="18"/>
                <w:szCs w:val="18"/>
                <w:highlight w:val="none"/>
                <w:vertAlign w:val="superscript"/>
              </w:rPr>
              <w:t>3</w:t>
            </w:r>
          </w:p>
        </w:tc>
        <w:tc>
          <w:tcPr>
            <w:tcW w:w="2658" w:type="dxa"/>
            <w:gridSpan w:val="2"/>
            <w:shd w:val="clear" w:color="auto" w:fill="auto"/>
            <w:vAlign w:val="center"/>
          </w:tcPr>
          <w:p>
            <w:pPr>
              <w:spacing w:line="276" w:lineRule="auto"/>
              <w:jc w:val="center"/>
              <w:rPr>
                <w:color w:val="000000"/>
                <w:spacing w:val="-4"/>
                <w:sz w:val="18"/>
                <w:szCs w:val="18"/>
              </w:rPr>
            </w:pPr>
            <w:r>
              <w:rPr>
                <w:rFonts w:hint="eastAsia"/>
                <w:color w:val="auto"/>
                <w:sz w:val="18"/>
                <w:szCs w:val="18"/>
                <w:highlight w:val="none"/>
              </w:rPr>
              <w:t>≤</w:t>
            </w:r>
            <w:r>
              <w:rPr>
                <w:rFonts w:hAnsi="Calibri"/>
                <w:color w:val="auto"/>
                <w:sz w:val="18"/>
                <w:szCs w:val="18"/>
                <w:highlight w:val="none"/>
              </w:rPr>
              <w:t>50</w:t>
            </w:r>
          </w:p>
        </w:tc>
        <w:tc>
          <w:tcPr>
            <w:tcW w:w="865" w:type="dxa"/>
            <w:shd w:val="clear" w:color="auto" w:fill="auto"/>
            <w:vAlign w:val="center"/>
          </w:tcPr>
          <w:p>
            <w:pPr>
              <w:spacing w:line="276" w:lineRule="auto"/>
              <w:jc w:val="center"/>
              <w:rPr>
                <w:rFonts w:ascii="Times New Roman" w:hAnsi="Times New Roman" w:eastAsia="宋体" w:cs="Times New Roman"/>
                <w:color w:val="000000"/>
                <w:spacing w:val="-4"/>
                <w:kern w:val="2"/>
                <w:sz w:val="18"/>
                <w:szCs w:val="18"/>
                <w:lang w:val="en-US" w:eastAsia="zh-CN" w:bidi="ar-SA"/>
              </w:rPr>
            </w:pPr>
            <w:r>
              <w:rPr>
                <w:rFonts w:hint="eastAsia"/>
                <w:color w:val="auto"/>
                <w:sz w:val="18"/>
                <w:szCs w:val="18"/>
                <w:highlight w:val="none"/>
              </w:rPr>
              <w:t>≤</w:t>
            </w:r>
            <w:r>
              <w:rPr>
                <w:rFonts w:hAnsi="Calibri"/>
                <w:color w:val="auto"/>
                <w:sz w:val="18"/>
                <w:szCs w:val="18"/>
                <w:highlight w:val="none"/>
              </w:rPr>
              <w:t>50</w:t>
            </w:r>
          </w:p>
        </w:tc>
        <w:tc>
          <w:tcPr>
            <w:tcW w:w="933" w:type="dxa"/>
            <w:shd w:val="clear" w:color="auto" w:fill="auto"/>
            <w:vAlign w:val="center"/>
          </w:tcPr>
          <w:p>
            <w:pPr>
              <w:spacing w:line="276" w:lineRule="auto"/>
              <w:jc w:val="center"/>
              <w:rPr>
                <w:color w:val="000000" w:themeColor="text1"/>
                <w:spacing w:val="-4"/>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933" w:type="dxa"/>
            <w:shd w:val="clear" w:color="auto" w:fill="auto"/>
            <w:vAlign w:val="center"/>
          </w:tcPr>
          <w:p>
            <w:pPr>
              <w:spacing w:line="276" w:lineRule="auto"/>
              <w:jc w:val="center"/>
              <w:rPr>
                <w:color w:val="000000" w:themeColor="text1"/>
                <w:spacing w:val="-4"/>
                <w:sz w:val="18"/>
                <w:szCs w:val="18"/>
                <w14:textFill>
                  <w14:solidFill>
                    <w14:schemeClr w14:val="tx1"/>
                  </w14:solidFill>
                </w14:textFill>
              </w:rPr>
            </w:pPr>
            <w:r>
              <w:rPr>
                <w:color w:val="000000" w:themeColor="text1"/>
                <w:sz w:val="18"/>
                <w:szCs w:val="18"/>
                <w14:textFill>
                  <w14:solidFill>
                    <w14:schemeClr w14:val="tx1"/>
                  </w14:solidFill>
                </w14:textFill>
              </w:rPr>
              <w:t>20</w:t>
            </w:r>
          </w:p>
        </w:tc>
        <w:tc>
          <w:tcPr>
            <w:tcW w:w="933" w:type="dxa"/>
            <w:shd w:val="clear" w:color="auto" w:fill="auto"/>
            <w:vAlign w:val="center"/>
          </w:tcPr>
          <w:p>
            <w:pPr>
              <w:spacing w:line="276" w:lineRule="auto"/>
              <w:jc w:val="center"/>
              <w:rPr>
                <w:color w:val="000000" w:themeColor="text1"/>
                <w:spacing w:val="-4"/>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933" w:type="dxa"/>
            <w:shd w:val="clear" w:color="auto" w:fill="auto"/>
            <w:vAlign w:val="center"/>
          </w:tcPr>
          <w:p>
            <w:pPr>
              <w:spacing w:line="276" w:lineRule="auto"/>
              <w:jc w:val="center"/>
              <w:rPr>
                <w:rFonts w:ascii="Times New Roman" w:hAnsi="Times New Roman" w:eastAsia="宋体" w:cs="Times New Roman"/>
                <w:color w:val="000000"/>
                <w:spacing w:val="-4"/>
                <w:kern w:val="2"/>
                <w:sz w:val="18"/>
                <w:szCs w:val="18"/>
                <w:lang w:val="en-US" w:eastAsia="zh-CN" w:bidi="ar-SA"/>
              </w:rPr>
            </w:pPr>
            <w:r>
              <w:rPr>
                <w:rFonts w:hint="eastAsia"/>
                <w:color w:val="000000" w:themeColor="text1"/>
                <w:sz w:val="18"/>
                <w:szCs w:val="18"/>
                <w14:textFill>
                  <w14:solidFill>
                    <w14:schemeClr w14:val="tx1"/>
                  </w14:solidFill>
                </w14:textFill>
              </w:rPr>
              <w:t>50</w:t>
            </w:r>
          </w:p>
        </w:tc>
        <w:tc>
          <w:tcPr>
            <w:tcW w:w="933" w:type="dxa"/>
            <w:shd w:val="clear" w:color="auto" w:fill="auto"/>
            <w:vAlign w:val="center"/>
          </w:tcPr>
          <w:p>
            <w:pPr>
              <w:jc w:val="center"/>
              <w:rPr>
                <w:rFonts w:hint="default" w:eastAsia="宋体"/>
                <w:color w:val="000000"/>
                <w:spacing w:val="-4"/>
                <w:sz w:val="18"/>
                <w:szCs w:val="18"/>
                <w:lang w:val="en-US" w:eastAsia="zh-CN"/>
              </w:rPr>
            </w:pPr>
            <w:r>
              <w:rPr>
                <w:rFonts w:hint="eastAsia"/>
                <w:color w:val="000000"/>
                <w:spacing w:val="-4"/>
                <w:sz w:val="18"/>
                <w:szCs w:val="18"/>
                <w:lang w:val="en-US" w:eastAsia="zh-CN"/>
              </w:rPr>
              <w:t>50</w:t>
            </w:r>
          </w:p>
        </w:tc>
        <w:tc>
          <w:tcPr>
            <w:tcW w:w="933" w:type="dxa"/>
            <w:shd w:val="clear" w:color="auto" w:fill="auto"/>
            <w:vAlign w:val="center"/>
          </w:tcPr>
          <w:p>
            <w:pPr>
              <w:spacing w:line="276" w:lineRule="auto"/>
              <w:jc w:val="center"/>
              <w:rPr>
                <w:color w:val="000000"/>
                <w:spacing w:val="-4"/>
                <w:sz w:val="18"/>
                <w:szCs w:val="18"/>
              </w:rPr>
            </w:pPr>
            <w:r>
              <w:rPr>
                <w:rFonts w:hint="eastAsia" w:hAnsi="Calibri"/>
                <w:color w:val="auto"/>
                <w:sz w:val="18"/>
                <w:szCs w:val="18"/>
                <w:highlight w:val="no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318" w:type="dxa"/>
            <w:vMerge w:val="continue"/>
            <w:shd w:val="clear" w:color="auto" w:fill="auto"/>
            <w:vAlign w:val="center"/>
          </w:tcPr>
          <w:p>
            <w:pPr>
              <w:spacing w:line="276" w:lineRule="auto"/>
              <w:jc w:val="center"/>
              <w:rPr>
                <w:rFonts w:hAnsi="Calibri"/>
                <w:color w:val="auto"/>
                <w:sz w:val="18"/>
                <w:szCs w:val="18"/>
                <w:highlight w:val="none"/>
              </w:rPr>
            </w:pPr>
          </w:p>
        </w:tc>
        <w:tc>
          <w:tcPr>
            <w:tcW w:w="2044" w:type="dxa"/>
            <w:shd w:val="clear" w:color="auto" w:fill="auto"/>
            <w:vAlign w:val="center"/>
          </w:tcPr>
          <w:p>
            <w:pPr>
              <w:spacing w:line="276" w:lineRule="auto"/>
              <w:jc w:val="center"/>
              <w:rPr>
                <w:rFonts w:hint="default" w:eastAsia="宋体"/>
                <w:color w:val="000000"/>
                <w:spacing w:val="-4"/>
                <w:sz w:val="18"/>
                <w:szCs w:val="18"/>
                <w:lang w:val="en-US" w:eastAsia="zh-CN"/>
              </w:rPr>
            </w:pPr>
            <w:r>
              <w:rPr>
                <w:rFonts w:hAnsi="Calibri"/>
                <w:color w:val="auto"/>
                <w:sz w:val="18"/>
                <w:szCs w:val="18"/>
                <w:highlight w:val="none"/>
              </w:rPr>
              <w:t>氮氧化物</w:t>
            </w:r>
            <w:r>
              <w:rPr>
                <w:rFonts w:hint="eastAsia" w:hAnsi="Calibri"/>
                <w:color w:val="auto"/>
                <w:sz w:val="18"/>
                <w:szCs w:val="18"/>
                <w:highlight w:val="none"/>
                <w:lang w:val="en-US" w:eastAsia="zh-CN"/>
              </w:rPr>
              <w:t>排放浓度</w:t>
            </w:r>
          </w:p>
        </w:tc>
        <w:tc>
          <w:tcPr>
            <w:tcW w:w="768" w:type="dxa"/>
            <w:shd w:val="clear" w:color="auto" w:fill="auto"/>
            <w:vAlign w:val="center"/>
          </w:tcPr>
          <w:p>
            <w:pPr>
              <w:jc w:val="center"/>
              <w:rPr>
                <w:color w:val="000000"/>
                <w:spacing w:val="-4"/>
                <w:sz w:val="18"/>
                <w:szCs w:val="18"/>
              </w:rPr>
            </w:pPr>
            <w:r>
              <w:rPr>
                <w:color w:val="auto"/>
                <w:sz w:val="18"/>
                <w:szCs w:val="18"/>
                <w:highlight w:val="none"/>
              </w:rPr>
              <w:t>mg</w:t>
            </w:r>
            <w:r>
              <w:rPr>
                <w:rFonts w:hint="eastAsia"/>
                <w:color w:val="auto"/>
                <w:sz w:val="18"/>
                <w:szCs w:val="18"/>
                <w:highlight w:val="none"/>
              </w:rPr>
              <w:t>/m</w:t>
            </w:r>
            <w:r>
              <w:rPr>
                <w:rFonts w:hint="eastAsia"/>
                <w:color w:val="auto"/>
                <w:sz w:val="18"/>
                <w:szCs w:val="18"/>
                <w:highlight w:val="none"/>
                <w:vertAlign w:val="superscript"/>
              </w:rPr>
              <w:t>3</w:t>
            </w:r>
          </w:p>
        </w:tc>
        <w:tc>
          <w:tcPr>
            <w:tcW w:w="2658" w:type="dxa"/>
            <w:gridSpan w:val="2"/>
            <w:shd w:val="clear" w:color="auto" w:fill="auto"/>
            <w:vAlign w:val="center"/>
          </w:tcPr>
          <w:p>
            <w:pPr>
              <w:spacing w:line="276" w:lineRule="auto"/>
              <w:jc w:val="center"/>
              <w:rPr>
                <w:color w:val="000000"/>
                <w:spacing w:val="-4"/>
                <w:sz w:val="18"/>
                <w:szCs w:val="18"/>
              </w:rPr>
            </w:pPr>
            <w:r>
              <w:rPr>
                <w:rFonts w:hint="eastAsia"/>
                <w:color w:val="auto"/>
                <w:sz w:val="18"/>
                <w:szCs w:val="18"/>
                <w:highlight w:val="none"/>
              </w:rPr>
              <w:t>≤</w:t>
            </w:r>
            <w:r>
              <w:rPr>
                <w:rFonts w:hAnsi="Calibri"/>
                <w:color w:val="auto"/>
                <w:sz w:val="18"/>
                <w:szCs w:val="18"/>
                <w:highlight w:val="none"/>
              </w:rPr>
              <w:t>100</w:t>
            </w:r>
          </w:p>
        </w:tc>
        <w:tc>
          <w:tcPr>
            <w:tcW w:w="865" w:type="dxa"/>
            <w:shd w:val="clear" w:color="auto" w:fill="auto"/>
            <w:vAlign w:val="center"/>
          </w:tcPr>
          <w:p>
            <w:pPr>
              <w:spacing w:line="276" w:lineRule="auto"/>
              <w:jc w:val="center"/>
              <w:rPr>
                <w:rFonts w:ascii="Times New Roman" w:hAnsi="Times New Roman" w:eastAsia="宋体" w:cs="Times New Roman"/>
                <w:color w:val="000000"/>
                <w:spacing w:val="-4"/>
                <w:kern w:val="2"/>
                <w:sz w:val="18"/>
                <w:szCs w:val="18"/>
                <w:lang w:val="en-US" w:eastAsia="zh-CN" w:bidi="ar-SA"/>
              </w:rPr>
            </w:pPr>
            <w:r>
              <w:rPr>
                <w:rFonts w:hint="eastAsia"/>
                <w:color w:val="auto"/>
                <w:sz w:val="18"/>
                <w:szCs w:val="18"/>
                <w:highlight w:val="none"/>
              </w:rPr>
              <w:t>≤</w:t>
            </w:r>
            <w:r>
              <w:rPr>
                <w:rFonts w:hAnsi="Calibri"/>
                <w:color w:val="auto"/>
                <w:sz w:val="18"/>
                <w:szCs w:val="18"/>
                <w:highlight w:val="none"/>
              </w:rPr>
              <w:t>100</w:t>
            </w:r>
          </w:p>
        </w:tc>
        <w:tc>
          <w:tcPr>
            <w:tcW w:w="933" w:type="dxa"/>
            <w:shd w:val="clear" w:color="auto" w:fill="auto"/>
            <w:vAlign w:val="center"/>
          </w:tcPr>
          <w:p>
            <w:pPr>
              <w:spacing w:line="276" w:lineRule="auto"/>
              <w:jc w:val="center"/>
              <w:rPr>
                <w:color w:val="000000" w:themeColor="text1"/>
                <w:spacing w:val="-4"/>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933" w:type="dxa"/>
            <w:shd w:val="clear" w:color="auto" w:fill="auto"/>
            <w:vAlign w:val="center"/>
          </w:tcPr>
          <w:p>
            <w:pPr>
              <w:spacing w:line="276" w:lineRule="auto"/>
              <w:jc w:val="center"/>
              <w:rPr>
                <w:color w:val="000000" w:themeColor="text1"/>
                <w:spacing w:val="-4"/>
                <w:sz w:val="18"/>
                <w:szCs w:val="18"/>
                <w14:textFill>
                  <w14:solidFill>
                    <w14:schemeClr w14:val="tx1"/>
                  </w14:solidFill>
                </w14:textFill>
              </w:rPr>
            </w:pPr>
            <w:r>
              <w:rPr>
                <w:color w:val="000000" w:themeColor="text1"/>
                <w:sz w:val="18"/>
                <w:szCs w:val="18"/>
                <w14:textFill>
                  <w14:solidFill>
                    <w14:schemeClr w14:val="tx1"/>
                  </w14:solidFill>
                </w14:textFill>
              </w:rPr>
              <w:t>120</w:t>
            </w:r>
          </w:p>
        </w:tc>
        <w:tc>
          <w:tcPr>
            <w:tcW w:w="933" w:type="dxa"/>
            <w:shd w:val="clear" w:color="auto" w:fill="auto"/>
            <w:vAlign w:val="center"/>
          </w:tcPr>
          <w:p>
            <w:pPr>
              <w:spacing w:line="276" w:lineRule="auto"/>
              <w:jc w:val="center"/>
              <w:rPr>
                <w:color w:val="000000" w:themeColor="text1"/>
                <w:spacing w:val="-4"/>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933" w:type="dxa"/>
            <w:shd w:val="clear" w:color="auto" w:fill="auto"/>
            <w:vAlign w:val="center"/>
          </w:tcPr>
          <w:p>
            <w:pPr>
              <w:spacing w:line="276" w:lineRule="auto"/>
              <w:jc w:val="center"/>
              <w:rPr>
                <w:rFonts w:ascii="Times New Roman" w:hAnsi="Times New Roman" w:eastAsia="宋体" w:cs="Times New Roman"/>
                <w:color w:val="000000"/>
                <w:spacing w:val="-4"/>
                <w:kern w:val="2"/>
                <w:sz w:val="18"/>
                <w:szCs w:val="18"/>
                <w:lang w:val="en-US" w:eastAsia="zh-CN" w:bidi="ar-SA"/>
              </w:rPr>
            </w:pPr>
            <w:r>
              <w:rPr>
                <w:rFonts w:hint="eastAsia"/>
                <w:color w:val="000000" w:themeColor="text1"/>
                <w:sz w:val="18"/>
                <w:szCs w:val="18"/>
                <w14:textFill>
                  <w14:solidFill>
                    <w14:schemeClr w14:val="tx1"/>
                  </w14:solidFill>
                </w14:textFill>
              </w:rPr>
              <w:t>100</w:t>
            </w:r>
          </w:p>
        </w:tc>
        <w:tc>
          <w:tcPr>
            <w:tcW w:w="933" w:type="dxa"/>
            <w:shd w:val="clear" w:color="auto" w:fill="auto"/>
            <w:vAlign w:val="center"/>
          </w:tcPr>
          <w:p>
            <w:pPr>
              <w:jc w:val="center"/>
              <w:rPr>
                <w:rFonts w:hint="default" w:eastAsia="宋体"/>
                <w:color w:val="000000"/>
                <w:spacing w:val="-4"/>
                <w:sz w:val="18"/>
                <w:szCs w:val="18"/>
                <w:lang w:val="en-US" w:eastAsia="zh-CN"/>
              </w:rPr>
            </w:pPr>
            <w:r>
              <w:rPr>
                <w:rFonts w:hint="eastAsia"/>
                <w:color w:val="000000"/>
                <w:spacing w:val="-4"/>
                <w:sz w:val="18"/>
                <w:szCs w:val="18"/>
                <w:lang w:val="en-US" w:eastAsia="zh-CN"/>
              </w:rPr>
              <w:t>100</w:t>
            </w:r>
          </w:p>
        </w:tc>
        <w:tc>
          <w:tcPr>
            <w:tcW w:w="933" w:type="dxa"/>
            <w:shd w:val="clear" w:color="auto" w:fill="auto"/>
            <w:vAlign w:val="center"/>
          </w:tcPr>
          <w:p>
            <w:pPr>
              <w:spacing w:line="276" w:lineRule="auto"/>
              <w:jc w:val="center"/>
              <w:rPr>
                <w:color w:val="000000"/>
                <w:spacing w:val="-4"/>
                <w:sz w:val="18"/>
                <w:szCs w:val="18"/>
              </w:rPr>
            </w:pPr>
            <w:r>
              <w:rPr>
                <w:rFonts w:hint="eastAsia" w:hAnsi="Calibri"/>
                <w:color w:val="auto"/>
                <w:sz w:val="18"/>
                <w:szCs w:val="18"/>
                <w:highlight w:val="none"/>
                <w:lang w:val="en-US" w:eastAsia="zh-CN"/>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6788" w:type="dxa"/>
            <w:gridSpan w:val="5"/>
            <w:shd w:val="clear" w:color="auto" w:fill="auto"/>
            <w:vAlign w:val="center"/>
          </w:tcPr>
          <w:p>
            <w:pPr>
              <w:spacing w:line="276" w:lineRule="auto"/>
              <w:jc w:val="center"/>
              <w:rPr>
                <w:rFonts w:hint="default" w:eastAsia="宋体"/>
                <w:color w:val="auto"/>
                <w:sz w:val="18"/>
                <w:szCs w:val="18"/>
                <w:highlight w:val="none"/>
                <w:lang w:val="en-US" w:eastAsia="zh-CN"/>
              </w:rPr>
            </w:pPr>
            <w:r>
              <w:rPr>
                <w:rFonts w:hint="eastAsia" w:hAnsi="Calibri"/>
                <w:color w:val="auto"/>
                <w:sz w:val="18"/>
                <w:szCs w:val="18"/>
                <w:highlight w:val="none"/>
                <w:lang w:val="en-US" w:eastAsia="zh-CN"/>
              </w:rPr>
              <w:t>评价结果</w:t>
            </w:r>
          </w:p>
        </w:tc>
        <w:tc>
          <w:tcPr>
            <w:tcW w:w="865" w:type="dxa"/>
            <w:shd w:val="clear" w:color="auto" w:fill="auto"/>
            <w:vAlign w:val="center"/>
          </w:tcPr>
          <w:p>
            <w:pPr>
              <w:spacing w:line="276" w:lineRule="auto"/>
              <w:jc w:val="center"/>
              <w:rPr>
                <w:rFonts w:hint="default" w:eastAsia="宋体"/>
                <w:color w:val="auto"/>
                <w:sz w:val="18"/>
                <w:szCs w:val="18"/>
                <w:highlight w:val="none"/>
                <w:lang w:val="en-US" w:eastAsia="zh-CN"/>
              </w:rPr>
            </w:pPr>
            <w:r>
              <w:rPr>
                <w:rFonts w:hint="eastAsia"/>
                <w:color w:val="auto"/>
                <w:sz w:val="18"/>
                <w:szCs w:val="18"/>
                <w:highlight w:val="none"/>
                <w:lang w:val="en-US" w:eastAsia="zh-CN"/>
              </w:rPr>
              <w:t>达标</w:t>
            </w:r>
          </w:p>
        </w:tc>
        <w:tc>
          <w:tcPr>
            <w:tcW w:w="933" w:type="dxa"/>
            <w:shd w:val="clear" w:color="auto" w:fill="auto"/>
            <w:vAlign w:val="center"/>
          </w:tcPr>
          <w:p>
            <w:pPr>
              <w:spacing w:line="276" w:lineRule="auto"/>
              <w:jc w:val="center"/>
              <w:rPr>
                <w:rFonts w:hint="default" w:eastAsia="宋体"/>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不达标</w:t>
            </w:r>
          </w:p>
        </w:tc>
        <w:tc>
          <w:tcPr>
            <w:tcW w:w="933" w:type="dxa"/>
            <w:shd w:val="clear" w:color="auto" w:fill="auto"/>
            <w:vAlign w:val="center"/>
          </w:tcPr>
          <w:p>
            <w:pPr>
              <w:spacing w:line="276" w:lineRule="auto"/>
              <w:jc w:val="center"/>
              <w:rPr>
                <w:rFonts w:hint="default" w:eastAsia="宋体"/>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不达标</w:t>
            </w:r>
          </w:p>
        </w:tc>
        <w:tc>
          <w:tcPr>
            <w:tcW w:w="933" w:type="dxa"/>
            <w:shd w:val="clear" w:color="auto" w:fill="auto"/>
            <w:vAlign w:val="center"/>
          </w:tcPr>
          <w:p>
            <w:pPr>
              <w:spacing w:line="276" w:lineRule="auto"/>
              <w:jc w:val="center"/>
              <w:rPr>
                <w:rFonts w:hint="eastAsia" w:eastAsia="宋体"/>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不达标</w:t>
            </w:r>
          </w:p>
        </w:tc>
        <w:tc>
          <w:tcPr>
            <w:tcW w:w="933" w:type="dxa"/>
            <w:shd w:val="clear" w:color="auto" w:fill="auto"/>
            <w:vAlign w:val="center"/>
          </w:tcPr>
          <w:p>
            <w:pPr>
              <w:spacing w:line="276" w:lineRule="auto"/>
              <w:jc w:val="center"/>
              <w:rPr>
                <w:rFonts w:hint="eastAsia" w:eastAsia="宋体"/>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达标</w:t>
            </w:r>
          </w:p>
        </w:tc>
        <w:tc>
          <w:tcPr>
            <w:tcW w:w="933" w:type="dxa"/>
            <w:shd w:val="clear" w:color="auto" w:fill="auto"/>
            <w:vAlign w:val="center"/>
          </w:tcPr>
          <w:p>
            <w:pPr>
              <w:jc w:val="center"/>
              <w:rPr>
                <w:rFonts w:hint="default"/>
                <w:color w:val="000000"/>
                <w:spacing w:val="-4"/>
                <w:sz w:val="18"/>
                <w:szCs w:val="18"/>
                <w:lang w:val="en-US" w:eastAsia="zh-CN"/>
              </w:rPr>
            </w:pPr>
            <w:r>
              <w:rPr>
                <w:rFonts w:hint="eastAsia"/>
                <w:color w:val="000000"/>
                <w:spacing w:val="-4"/>
                <w:sz w:val="18"/>
                <w:szCs w:val="18"/>
                <w:lang w:val="en-US" w:eastAsia="zh-CN"/>
              </w:rPr>
              <w:t>达标</w:t>
            </w:r>
          </w:p>
        </w:tc>
        <w:tc>
          <w:tcPr>
            <w:tcW w:w="933" w:type="dxa"/>
            <w:shd w:val="clear" w:color="auto" w:fill="auto"/>
            <w:vAlign w:val="center"/>
          </w:tcPr>
          <w:p>
            <w:pPr>
              <w:spacing w:line="276" w:lineRule="auto"/>
              <w:jc w:val="center"/>
              <w:rPr>
                <w:rFonts w:hint="default" w:hAnsi="Calibri"/>
                <w:color w:val="auto"/>
                <w:sz w:val="18"/>
                <w:szCs w:val="18"/>
                <w:highlight w:val="none"/>
                <w:lang w:val="en-US" w:eastAsia="zh-CN"/>
              </w:rPr>
            </w:pPr>
            <w:r>
              <w:rPr>
                <w:rFonts w:hint="eastAsia" w:hAnsi="Calibri"/>
                <w:color w:val="auto"/>
                <w:sz w:val="18"/>
                <w:szCs w:val="18"/>
                <w:highlight w:val="none"/>
                <w:lang w:val="en-US" w:eastAsia="zh-CN"/>
              </w:rPr>
              <w:t>达标</w:t>
            </w:r>
          </w:p>
        </w:tc>
      </w:tr>
    </w:tbl>
    <w:p>
      <w:pPr>
        <w:spacing w:line="500" w:lineRule="exact"/>
        <w:ind w:firstLine="480" w:firstLineChars="200"/>
        <w:rPr>
          <w:rFonts w:hint="eastAsia"/>
          <w:sz w:val="24"/>
        </w:rPr>
        <w:sectPr>
          <w:pgSz w:w="16838" w:h="11906" w:orient="landscape"/>
          <w:pgMar w:top="1588" w:right="1418" w:bottom="1474" w:left="1361" w:header="737" w:footer="737" w:gutter="0"/>
          <w:pgNumType w:start="1"/>
          <w:cols w:space="720" w:num="1"/>
          <w:formProt w:val="0"/>
          <w:docGrid w:type="lines" w:linePitch="312" w:charSpace="0"/>
        </w:sectPr>
      </w:pPr>
    </w:p>
    <w:p>
      <w:pPr>
        <w:spacing w:line="500" w:lineRule="exact"/>
        <w:ind w:firstLine="480" w:firstLineChars="200"/>
        <w:rPr>
          <w:sz w:val="24"/>
        </w:rPr>
      </w:pPr>
      <w:r>
        <w:rPr>
          <w:rFonts w:hint="eastAsia"/>
          <w:sz w:val="24"/>
        </w:rPr>
        <w:t xml:space="preserve">《绿色设计产品评价技术规范 </w:t>
      </w:r>
      <w:r>
        <w:rPr>
          <w:rFonts w:hint="eastAsia"/>
          <w:sz w:val="24"/>
          <w:lang w:eastAsia="zh-CN"/>
        </w:rPr>
        <w:t>镁碳砖</w:t>
      </w:r>
      <w:r>
        <w:rPr>
          <w:rFonts w:hint="eastAsia"/>
          <w:sz w:val="24"/>
        </w:rPr>
        <w:t>》标准验证选取</w:t>
      </w:r>
      <w:r>
        <w:rPr>
          <w:rFonts w:hint="eastAsia"/>
          <w:sz w:val="24"/>
          <w:lang w:val="en-US" w:eastAsia="zh-CN"/>
        </w:rPr>
        <w:t>7</w:t>
      </w:r>
      <w:r>
        <w:rPr>
          <w:rFonts w:hint="eastAsia"/>
          <w:sz w:val="24"/>
        </w:rPr>
        <w:t>家</w:t>
      </w:r>
      <w:r>
        <w:rPr>
          <w:rFonts w:hint="eastAsia"/>
          <w:sz w:val="24"/>
          <w:lang w:val="en-US" w:eastAsia="zh-CN"/>
        </w:rPr>
        <w:t>行业领先的</w:t>
      </w:r>
      <w:r>
        <w:rPr>
          <w:rFonts w:hint="eastAsia"/>
          <w:sz w:val="24"/>
        </w:rPr>
        <w:t>典型生产企业。</w:t>
      </w:r>
      <w:r>
        <w:rPr>
          <w:rFonts w:hint="eastAsia"/>
          <w:sz w:val="24"/>
          <w:lang w:val="en-US" w:eastAsia="zh-CN"/>
        </w:rPr>
        <w:t>7</w:t>
      </w:r>
      <w:r>
        <w:rPr>
          <w:rFonts w:hint="eastAsia"/>
          <w:sz w:val="24"/>
        </w:rPr>
        <w:t>家生产企业基本要求均全部符合，</w:t>
      </w:r>
      <w:r>
        <w:rPr>
          <w:rFonts w:hint="eastAsia"/>
          <w:sz w:val="24"/>
          <w:lang w:val="en-US" w:eastAsia="zh-CN"/>
        </w:rPr>
        <w:t>1</w:t>
      </w:r>
      <w:r>
        <w:rPr>
          <w:rFonts w:hint="eastAsia"/>
          <w:sz w:val="24"/>
        </w:rPr>
        <w:t>家企业资源属性</w:t>
      </w:r>
      <w:r>
        <w:rPr>
          <w:rFonts w:hint="eastAsia"/>
          <w:sz w:val="24"/>
          <w:lang w:val="en-US" w:eastAsia="zh-CN"/>
        </w:rPr>
        <w:t>未达到标准要求</w:t>
      </w:r>
      <w:r>
        <w:rPr>
          <w:rFonts w:hint="eastAsia"/>
          <w:sz w:val="24"/>
        </w:rPr>
        <w:t>、</w:t>
      </w:r>
      <w:r>
        <w:rPr>
          <w:rFonts w:hint="eastAsia"/>
          <w:sz w:val="24"/>
          <w:lang w:val="en-US" w:eastAsia="zh-CN"/>
        </w:rPr>
        <w:t>1家企业</w:t>
      </w:r>
      <w:r>
        <w:rPr>
          <w:rFonts w:hint="eastAsia"/>
          <w:sz w:val="24"/>
        </w:rPr>
        <w:t>能源属性</w:t>
      </w:r>
      <w:r>
        <w:rPr>
          <w:rFonts w:hint="eastAsia"/>
          <w:sz w:val="24"/>
          <w:lang w:val="en-US" w:eastAsia="zh-CN"/>
        </w:rPr>
        <w:t>未达到标准要求，综合情况分析</w:t>
      </w:r>
      <w:r>
        <w:rPr>
          <w:rFonts w:hint="eastAsia"/>
          <w:sz w:val="24"/>
        </w:rPr>
        <w:t>：</w:t>
      </w:r>
      <w:r>
        <w:rPr>
          <w:rFonts w:hint="eastAsia"/>
          <w:sz w:val="24"/>
          <w:lang w:val="en-US" w:eastAsia="zh-CN"/>
        </w:rPr>
        <w:t>7家验证企业中3家企业达到标准要求，4家企业未达到标准要求</w:t>
      </w:r>
      <w:r>
        <w:rPr>
          <w:rFonts w:hint="eastAsia"/>
          <w:sz w:val="24"/>
        </w:rPr>
        <w:t>。</w:t>
      </w:r>
    </w:p>
    <w:p>
      <w:pPr>
        <w:spacing w:line="500" w:lineRule="exact"/>
        <w:ind w:firstLine="480" w:firstLineChars="200"/>
        <w:rPr>
          <w:sz w:val="24"/>
        </w:rPr>
      </w:pPr>
      <w:r>
        <w:rPr>
          <w:rFonts w:hint="eastAsia"/>
          <w:sz w:val="24"/>
        </w:rPr>
        <w:t>对于生命周期方面的验证：本标准生命周期部分选取具有代表性的生产企业，对其20</w:t>
      </w:r>
      <w:r>
        <w:rPr>
          <w:rFonts w:hint="eastAsia"/>
          <w:sz w:val="24"/>
          <w:lang w:val="en-US" w:eastAsia="zh-CN"/>
        </w:rPr>
        <w:t>22</w:t>
      </w:r>
      <w:r>
        <w:rPr>
          <w:rFonts w:hint="eastAsia"/>
          <w:sz w:val="24"/>
        </w:rPr>
        <w:t>年生产数据进行汇总，完成产品生命周期评价，具体结果见表4-</w:t>
      </w:r>
      <w:r>
        <w:rPr>
          <w:rFonts w:hint="eastAsia"/>
          <w:sz w:val="24"/>
          <w:lang w:val="en-US" w:eastAsia="zh-CN"/>
        </w:rPr>
        <w:t>3</w:t>
      </w:r>
      <w:r>
        <w:rPr>
          <w:rFonts w:hint="eastAsia"/>
          <w:sz w:val="24"/>
        </w:rPr>
        <w:t>，本标准所选取环境影响类型均为</w:t>
      </w:r>
      <w:r>
        <w:rPr>
          <w:rFonts w:hint="eastAsia"/>
          <w:sz w:val="24"/>
          <w:lang w:eastAsia="zh-CN"/>
        </w:rPr>
        <w:t>镁碳砖</w:t>
      </w:r>
      <w:r>
        <w:rPr>
          <w:rFonts w:hint="eastAsia"/>
          <w:sz w:val="24"/>
        </w:rPr>
        <w:t>生产过程中影响占比较大的种类。</w:t>
      </w:r>
    </w:p>
    <w:p>
      <w:pPr>
        <w:widowControl/>
        <w:jc w:val="left"/>
        <w:rPr>
          <w:sz w:val="24"/>
        </w:rPr>
      </w:pPr>
      <w:r>
        <w:rPr>
          <w:sz w:val="24"/>
        </w:rPr>
        <w:br w:type="page"/>
      </w:r>
    </w:p>
    <w:p>
      <w:pPr>
        <w:spacing w:line="500" w:lineRule="exact"/>
        <w:jc w:val="center"/>
        <w:rPr>
          <w:sz w:val="24"/>
        </w:rPr>
      </w:pPr>
      <w:r>
        <w:rPr>
          <w:rFonts w:hint="eastAsia"/>
          <w:sz w:val="24"/>
        </w:rPr>
        <w:t>表4-</w:t>
      </w:r>
      <w:r>
        <w:rPr>
          <w:sz w:val="24"/>
        </w:rPr>
        <w:t xml:space="preserve">9 </w:t>
      </w:r>
      <w:r>
        <w:rPr>
          <w:rFonts w:hint="eastAsia"/>
          <w:sz w:val="24"/>
          <w:lang w:eastAsia="zh-CN"/>
        </w:rPr>
        <w:t>镁碳砖</w:t>
      </w:r>
      <w:r>
        <w:rPr>
          <w:rFonts w:hint="eastAsia"/>
          <w:sz w:val="24"/>
        </w:rPr>
        <w:t>生命周期环境影响类型验证情况表</w:t>
      </w:r>
    </w:p>
    <w:tbl>
      <w:tblPr>
        <w:tblStyle w:val="25"/>
        <w:tblW w:w="8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44"/>
        <w:gridCol w:w="1961"/>
        <w:gridCol w:w="1500"/>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3844" w:type="dxa"/>
            <w:vAlign w:val="center"/>
          </w:tcPr>
          <w:p>
            <w:pPr>
              <w:spacing w:line="500" w:lineRule="exact"/>
              <w:jc w:val="center"/>
              <w:rPr>
                <w:sz w:val="22"/>
                <w:szCs w:val="22"/>
              </w:rPr>
            </w:pPr>
          </w:p>
        </w:tc>
        <w:tc>
          <w:tcPr>
            <w:tcW w:w="1961" w:type="dxa"/>
            <w:vAlign w:val="center"/>
          </w:tcPr>
          <w:p>
            <w:pPr>
              <w:spacing w:line="500" w:lineRule="exact"/>
              <w:jc w:val="center"/>
              <w:rPr>
                <w:sz w:val="22"/>
                <w:szCs w:val="22"/>
              </w:rPr>
            </w:pPr>
            <w:r>
              <w:rPr>
                <w:sz w:val="22"/>
                <w:szCs w:val="22"/>
              </w:rPr>
              <w:t>企业</w:t>
            </w:r>
            <w:r>
              <w:rPr>
                <w:rFonts w:hint="eastAsia"/>
                <w:sz w:val="22"/>
                <w:szCs w:val="22"/>
              </w:rPr>
              <w:t>1</w:t>
            </w:r>
          </w:p>
        </w:tc>
        <w:tc>
          <w:tcPr>
            <w:tcW w:w="1500" w:type="dxa"/>
            <w:vAlign w:val="center"/>
          </w:tcPr>
          <w:p>
            <w:pPr>
              <w:spacing w:line="500" w:lineRule="exact"/>
              <w:jc w:val="center"/>
              <w:rPr>
                <w:sz w:val="22"/>
                <w:szCs w:val="22"/>
              </w:rPr>
            </w:pPr>
            <w:r>
              <w:rPr>
                <w:sz w:val="22"/>
                <w:szCs w:val="22"/>
              </w:rPr>
              <w:t>企业</w:t>
            </w:r>
            <w:r>
              <w:rPr>
                <w:rFonts w:hint="eastAsia"/>
                <w:sz w:val="22"/>
                <w:szCs w:val="22"/>
              </w:rPr>
              <w:t>2</w:t>
            </w:r>
          </w:p>
        </w:tc>
        <w:tc>
          <w:tcPr>
            <w:tcW w:w="1500" w:type="dxa"/>
            <w:vAlign w:val="center"/>
          </w:tcPr>
          <w:p>
            <w:pPr>
              <w:spacing w:line="500" w:lineRule="exact"/>
              <w:jc w:val="center"/>
              <w:rPr>
                <w:sz w:val="22"/>
                <w:szCs w:val="22"/>
              </w:rPr>
            </w:pPr>
            <w:r>
              <w:rPr>
                <w:sz w:val="22"/>
                <w:szCs w:val="22"/>
              </w:rPr>
              <w:t>企业</w:t>
            </w:r>
            <w:r>
              <w:rPr>
                <w:rFonts w:hint="eastAsia"/>
                <w:sz w:val="22"/>
                <w:szCs w:val="2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844" w:type="dxa"/>
            <w:vAlign w:val="center"/>
          </w:tcPr>
          <w:p>
            <w:pPr>
              <w:spacing w:line="500" w:lineRule="exact"/>
              <w:jc w:val="center"/>
              <w:rPr>
                <w:rFonts w:hint="eastAsia"/>
                <w:sz w:val="22"/>
                <w:szCs w:val="22"/>
                <w:lang w:val="en-US" w:eastAsia="zh-CN"/>
              </w:rPr>
            </w:pPr>
            <w:r>
              <w:rPr>
                <w:rFonts w:hint="eastAsia"/>
                <w:sz w:val="22"/>
                <w:szCs w:val="22"/>
                <w:lang w:val="en-US" w:eastAsia="zh-CN"/>
              </w:rPr>
              <w:t>全球变暖</w:t>
            </w:r>
          </w:p>
        </w:tc>
        <w:tc>
          <w:tcPr>
            <w:tcW w:w="1961" w:type="dxa"/>
            <w:vAlign w:val="center"/>
          </w:tcPr>
          <w:p>
            <w:pPr>
              <w:spacing w:line="500" w:lineRule="exact"/>
              <w:jc w:val="center"/>
              <w:rPr>
                <w:rFonts w:hint="eastAsia"/>
                <w:sz w:val="22"/>
                <w:szCs w:val="22"/>
              </w:rPr>
            </w:pPr>
            <w:r>
              <w:rPr>
                <w:rFonts w:hint="default"/>
                <w:sz w:val="22"/>
                <w:szCs w:val="22"/>
                <w:lang w:val="en-US" w:eastAsia="zh-CN"/>
              </w:rPr>
              <w:t>40.70%</w:t>
            </w:r>
          </w:p>
        </w:tc>
        <w:tc>
          <w:tcPr>
            <w:tcW w:w="1500" w:type="dxa"/>
            <w:vAlign w:val="center"/>
          </w:tcPr>
          <w:p>
            <w:pPr>
              <w:spacing w:line="500" w:lineRule="exact"/>
              <w:jc w:val="center"/>
              <w:rPr>
                <w:rFonts w:hint="default"/>
                <w:sz w:val="22"/>
                <w:szCs w:val="22"/>
                <w:lang w:val="en-US" w:eastAsia="zh-CN"/>
              </w:rPr>
            </w:pPr>
            <w:r>
              <w:rPr>
                <w:rFonts w:hint="default"/>
                <w:sz w:val="22"/>
                <w:szCs w:val="22"/>
                <w:lang w:val="en-US" w:eastAsia="zh-CN"/>
              </w:rPr>
              <w:t>42.94%</w:t>
            </w:r>
          </w:p>
        </w:tc>
        <w:tc>
          <w:tcPr>
            <w:tcW w:w="1500" w:type="dxa"/>
            <w:vAlign w:val="center"/>
          </w:tcPr>
          <w:p>
            <w:pPr>
              <w:spacing w:line="500" w:lineRule="exact"/>
              <w:jc w:val="center"/>
              <w:rPr>
                <w:rFonts w:hint="default"/>
                <w:sz w:val="22"/>
                <w:szCs w:val="22"/>
                <w:lang w:val="en-US" w:eastAsia="zh-CN"/>
              </w:rPr>
            </w:pPr>
            <w:r>
              <w:rPr>
                <w:rFonts w:hint="default"/>
                <w:sz w:val="22"/>
                <w:szCs w:val="22"/>
                <w:lang w:val="en-US" w:eastAsia="zh-CN"/>
              </w:rPr>
              <w:t>48.08%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844" w:type="dxa"/>
            <w:vAlign w:val="center"/>
          </w:tcPr>
          <w:p>
            <w:pPr>
              <w:spacing w:line="500" w:lineRule="exact"/>
              <w:jc w:val="center"/>
              <w:rPr>
                <w:rFonts w:hint="eastAsia"/>
                <w:sz w:val="22"/>
                <w:szCs w:val="22"/>
                <w:lang w:val="en-US" w:eastAsia="zh-CN"/>
              </w:rPr>
            </w:pPr>
            <w:r>
              <w:rPr>
                <w:rFonts w:hint="eastAsia"/>
                <w:sz w:val="22"/>
                <w:szCs w:val="22"/>
                <w:lang w:val="en-US" w:eastAsia="zh-CN"/>
              </w:rPr>
              <w:t>颗粒物形成</w:t>
            </w:r>
          </w:p>
        </w:tc>
        <w:tc>
          <w:tcPr>
            <w:tcW w:w="1961" w:type="dxa"/>
            <w:vAlign w:val="center"/>
          </w:tcPr>
          <w:p>
            <w:pPr>
              <w:spacing w:line="500" w:lineRule="exact"/>
              <w:jc w:val="center"/>
              <w:rPr>
                <w:rFonts w:hint="eastAsia"/>
                <w:sz w:val="22"/>
                <w:szCs w:val="22"/>
              </w:rPr>
            </w:pPr>
            <w:r>
              <w:rPr>
                <w:rFonts w:hint="default"/>
                <w:sz w:val="22"/>
                <w:szCs w:val="22"/>
                <w:lang w:val="en-US" w:eastAsia="zh-CN"/>
              </w:rPr>
              <w:t>32.02%</w:t>
            </w:r>
          </w:p>
        </w:tc>
        <w:tc>
          <w:tcPr>
            <w:tcW w:w="1500" w:type="dxa"/>
            <w:vAlign w:val="center"/>
          </w:tcPr>
          <w:p>
            <w:pPr>
              <w:spacing w:line="500" w:lineRule="exact"/>
              <w:jc w:val="center"/>
              <w:rPr>
                <w:rFonts w:hint="default"/>
                <w:sz w:val="22"/>
                <w:szCs w:val="22"/>
                <w:lang w:val="en-US" w:eastAsia="zh-CN"/>
              </w:rPr>
            </w:pPr>
            <w:r>
              <w:rPr>
                <w:rFonts w:hint="default"/>
                <w:sz w:val="22"/>
                <w:szCs w:val="22"/>
                <w:lang w:val="en-US" w:eastAsia="zh-CN"/>
              </w:rPr>
              <w:t>32.33%</w:t>
            </w:r>
          </w:p>
        </w:tc>
        <w:tc>
          <w:tcPr>
            <w:tcW w:w="1500" w:type="dxa"/>
            <w:vAlign w:val="center"/>
          </w:tcPr>
          <w:p>
            <w:pPr>
              <w:spacing w:line="500" w:lineRule="exact"/>
              <w:jc w:val="center"/>
              <w:rPr>
                <w:rFonts w:hint="default"/>
                <w:sz w:val="22"/>
                <w:szCs w:val="22"/>
                <w:lang w:val="en-US" w:eastAsia="zh-CN"/>
              </w:rPr>
            </w:pPr>
            <w:r>
              <w:rPr>
                <w:rFonts w:hint="default"/>
                <w:sz w:val="22"/>
                <w:szCs w:val="22"/>
                <w:lang w:val="en-US" w:eastAsia="zh-CN"/>
              </w:rPr>
              <w:t>43.27%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844" w:type="dxa"/>
            <w:vAlign w:val="center"/>
          </w:tcPr>
          <w:p>
            <w:pPr>
              <w:spacing w:line="500" w:lineRule="exact"/>
              <w:jc w:val="center"/>
              <w:rPr>
                <w:rFonts w:hint="eastAsia"/>
                <w:sz w:val="22"/>
                <w:szCs w:val="22"/>
                <w:lang w:val="en-US" w:eastAsia="zh-CN"/>
              </w:rPr>
            </w:pPr>
            <w:r>
              <w:rPr>
                <w:rFonts w:hint="eastAsia"/>
                <w:sz w:val="22"/>
                <w:szCs w:val="22"/>
                <w:lang w:val="en-US" w:eastAsia="zh-CN"/>
              </w:rPr>
              <w:t>人体毒性-非致癌损害</w:t>
            </w:r>
          </w:p>
        </w:tc>
        <w:tc>
          <w:tcPr>
            <w:tcW w:w="1961" w:type="dxa"/>
            <w:vAlign w:val="center"/>
          </w:tcPr>
          <w:p>
            <w:pPr>
              <w:spacing w:line="500" w:lineRule="exact"/>
              <w:jc w:val="center"/>
              <w:rPr>
                <w:rFonts w:hint="eastAsia"/>
                <w:sz w:val="22"/>
                <w:szCs w:val="22"/>
              </w:rPr>
            </w:pPr>
            <w:r>
              <w:rPr>
                <w:rFonts w:hint="default"/>
                <w:sz w:val="22"/>
                <w:szCs w:val="22"/>
                <w:lang w:val="en-US" w:eastAsia="zh-CN"/>
              </w:rPr>
              <w:t>14.67%</w:t>
            </w:r>
          </w:p>
        </w:tc>
        <w:tc>
          <w:tcPr>
            <w:tcW w:w="1500" w:type="dxa"/>
            <w:vAlign w:val="center"/>
          </w:tcPr>
          <w:p>
            <w:pPr>
              <w:spacing w:line="500" w:lineRule="exact"/>
              <w:jc w:val="center"/>
              <w:rPr>
                <w:rFonts w:hint="default"/>
                <w:sz w:val="22"/>
                <w:szCs w:val="22"/>
                <w:lang w:val="en-US" w:eastAsia="zh-CN"/>
              </w:rPr>
            </w:pPr>
            <w:r>
              <w:rPr>
                <w:rFonts w:hint="default"/>
                <w:sz w:val="22"/>
                <w:szCs w:val="22"/>
                <w:lang w:val="en-US" w:eastAsia="zh-CN"/>
              </w:rPr>
              <w:t>13.16%</w:t>
            </w:r>
          </w:p>
        </w:tc>
        <w:tc>
          <w:tcPr>
            <w:tcW w:w="1500" w:type="dxa"/>
            <w:vAlign w:val="center"/>
          </w:tcPr>
          <w:p>
            <w:pPr>
              <w:spacing w:line="500" w:lineRule="exact"/>
              <w:jc w:val="center"/>
              <w:rPr>
                <w:rFonts w:hint="default"/>
                <w:sz w:val="22"/>
                <w:szCs w:val="22"/>
                <w:lang w:val="en-US" w:eastAsia="zh-CN"/>
              </w:rPr>
            </w:pPr>
            <w:r>
              <w:rPr>
                <w:rFonts w:hint="default"/>
                <w:sz w:val="22"/>
                <w:szCs w:val="22"/>
                <w:lang w:val="en-US"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844" w:type="dxa"/>
            <w:vAlign w:val="center"/>
          </w:tcPr>
          <w:p>
            <w:pPr>
              <w:spacing w:line="500" w:lineRule="exact"/>
              <w:jc w:val="center"/>
              <w:rPr>
                <w:rFonts w:hint="eastAsia"/>
                <w:sz w:val="22"/>
                <w:szCs w:val="22"/>
                <w:lang w:val="en-US" w:eastAsia="zh-CN"/>
              </w:rPr>
            </w:pPr>
            <w:r>
              <w:rPr>
                <w:rFonts w:hint="eastAsia"/>
                <w:sz w:val="22"/>
                <w:szCs w:val="22"/>
                <w:lang w:val="en-US" w:eastAsia="zh-CN"/>
              </w:rPr>
              <w:t>人体毒性-致癌损害</w:t>
            </w:r>
          </w:p>
        </w:tc>
        <w:tc>
          <w:tcPr>
            <w:tcW w:w="1961" w:type="dxa"/>
            <w:vAlign w:val="center"/>
          </w:tcPr>
          <w:p>
            <w:pPr>
              <w:spacing w:line="500" w:lineRule="exact"/>
              <w:jc w:val="center"/>
              <w:rPr>
                <w:rFonts w:hint="eastAsia"/>
                <w:sz w:val="22"/>
                <w:szCs w:val="22"/>
              </w:rPr>
            </w:pPr>
            <w:r>
              <w:rPr>
                <w:rFonts w:hint="default"/>
                <w:sz w:val="22"/>
                <w:szCs w:val="22"/>
                <w:lang w:val="en-US" w:eastAsia="zh-CN"/>
              </w:rPr>
              <w:t>9.51%</w:t>
            </w:r>
          </w:p>
        </w:tc>
        <w:tc>
          <w:tcPr>
            <w:tcW w:w="1500" w:type="dxa"/>
            <w:vAlign w:val="center"/>
          </w:tcPr>
          <w:p>
            <w:pPr>
              <w:spacing w:line="500" w:lineRule="exact"/>
              <w:jc w:val="center"/>
              <w:rPr>
                <w:rFonts w:hint="default"/>
                <w:sz w:val="22"/>
                <w:szCs w:val="22"/>
                <w:lang w:val="en-US" w:eastAsia="zh-CN"/>
              </w:rPr>
            </w:pPr>
            <w:r>
              <w:rPr>
                <w:rFonts w:hint="default"/>
                <w:sz w:val="22"/>
                <w:szCs w:val="22"/>
                <w:lang w:val="en-US" w:eastAsia="zh-CN"/>
              </w:rPr>
              <w:t>8.51%</w:t>
            </w:r>
          </w:p>
        </w:tc>
        <w:tc>
          <w:tcPr>
            <w:tcW w:w="1500" w:type="dxa"/>
            <w:vAlign w:val="center"/>
          </w:tcPr>
          <w:p>
            <w:pPr>
              <w:spacing w:line="500" w:lineRule="exact"/>
              <w:jc w:val="center"/>
              <w:rPr>
                <w:rFonts w:hint="default"/>
                <w:sz w:val="22"/>
                <w:szCs w:val="22"/>
                <w:lang w:val="en-US" w:eastAsia="zh-CN"/>
              </w:rPr>
            </w:pPr>
            <w:r>
              <w:rPr>
                <w:rFonts w:hint="default"/>
                <w:sz w:val="22"/>
                <w:szCs w:val="22"/>
                <w:lang w:val="en-US" w:eastAsia="zh-CN"/>
              </w:rP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844" w:type="dxa"/>
            <w:vAlign w:val="center"/>
          </w:tcPr>
          <w:p>
            <w:pPr>
              <w:spacing w:line="500" w:lineRule="exact"/>
              <w:jc w:val="center"/>
              <w:rPr>
                <w:rFonts w:hint="eastAsia"/>
                <w:sz w:val="22"/>
                <w:szCs w:val="22"/>
                <w:lang w:val="en-US" w:eastAsia="zh-CN"/>
              </w:rPr>
            </w:pPr>
            <w:r>
              <w:rPr>
                <w:rFonts w:hint="eastAsia"/>
                <w:sz w:val="22"/>
                <w:szCs w:val="22"/>
                <w:lang w:val="en-US" w:eastAsia="zh-CN"/>
              </w:rPr>
              <w:t>陆地生态系统酸化</w:t>
            </w:r>
          </w:p>
        </w:tc>
        <w:tc>
          <w:tcPr>
            <w:tcW w:w="1961" w:type="dxa"/>
            <w:vAlign w:val="center"/>
          </w:tcPr>
          <w:p>
            <w:pPr>
              <w:spacing w:line="500" w:lineRule="exact"/>
              <w:jc w:val="center"/>
              <w:rPr>
                <w:rFonts w:hint="eastAsia"/>
                <w:sz w:val="22"/>
                <w:szCs w:val="22"/>
              </w:rPr>
            </w:pPr>
            <w:r>
              <w:rPr>
                <w:rFonts w:hint="default"/>
                <w:sz w:val="22"/>
                <w:szCs w:val="22"/>
                <w:lang w:val="en-US" w:eastAsia="zh-CN"/>
              </w:rPr>
              <w:t>0.88%</w:t>
            </w:r>
          </w:p>
        </w:tc>
        <w:tc>
          <w:tcPr>
            <w:tcW w:w="1500" w:type="dxa"/>
            <w:vAlign w:val="center"/>
          </w:tcPr>
          <w:p>
            <w:pPr>
              <w:spacing w:line="500" w:lineRule="exact"/>
              <w:jc w:val="center"/>
              <w:rPr>
                <w:rFonts w:hint="default"/>
                <w:sz w:val="22"/>
                <w:szCs w:val="22"/>
                <w:lang w:val="en-US" w:eastAsia="zh-CN"/>
              </w:rPr>
            </w:pPr>
            <w:r>
              <w:rPr>
                <w:rFonts w:hint="default"/>
                <w:sz w:val="22"/>
                <w:szCs w:val="22"/>
                <w:lang w:val="en-US" w:eastAsia="zh-CN"/>
              </w:rPr>
              <w:t>0.90%</w:t>
            </w:r>
          </w:p>
        </w:tc>
        <w:tc>
          <w:tcPr>
            <w:tcW w:w="1500" w:type="dxa"/>
            <w:vAlign w:val="center"/>
          </w:tcPr>
          <w:p>
            <w:pPr>
              <w:spacing w:line="500" w:lineRule="exact"/>
              <w:jc w:val="center"/>
              <w:rPr>
                <w:rFonts w:hint="default"/>
                <w:sz w:val="22"/>
                <w:szCs w:val="22"/>
                <w:lang w:val="en-US" w:eastAsia="zh-CN"/>
              </w:rPr>
            </w:pPr>
            <w:r>
              <w:rPr>
                <w:rFonts w:hint="default"/>
                <w:sz w:val="22"/>
                <w:szCs w:val="22"/>
                <w:lang w:val="en-US" w:eastAsia="zh-CN"/>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3844" w:type="dxa"/>
            <w:vAlign w:val="center"/>
          </w:tcPr>
          <w:p>
            <w:pPr>
              <w:spacing w:line="500" w:lineRule="exact"/>
              <w:jc w:val="center"/>
              <w:rPr>
                <w:rFonts w:hint="eastAsia"/>
                <w:sz w:val="22"/>
                <w:szCs w:val="22"/>
                <w:lang w:val="en-US" w:eastAsia="zh-CN"/>
              </w:rPr>
            </w:pPr>
            <w:r>
              <w:rPr>
                <w:rFonts w:hint="eastAsia"/>
                <w:sz w:val="22"/>
                <w:szCs w:val="22"/>
                <w:lang w:val="en-US" w:eastAsia="zh-CN"/>
              </w:rPr>
              <w:t>化石能源稀缺</w:t>
            </w:r>
          </w:p>
        </w:tc>
        <w:tc>
          <w:tcPr>
            <w:tcW w:w="1961" w:type="dxa"/>
            <w:vAlign w:val="center"/>
          </w:tcPr>
          <w:p>
            <w:pPr>
              <w:spacing w:line="500" w:lineRule="exact"/>
              <w:jc w:val="center"/>
              <w:rPr>
                <w:rFonts w:hint="eastAsia"/>
                <w:sz w:val="22"/>
                <w:szCs w:val="22"/>
              </w:rPr>
            </w:pPr>
            <w:r>
              <w:rPr>
                <w:rFonts w:hint="default"/>
                <w:sz w:val="22"/>
                <w:szCs w:val="22"/>
                <w:lang w:val="en-US" w:eastAsia="zh-CN"/>
              </w:rPr>
              <w:t>0.74%</w:t>
            </w:r>
          </w:p>
        </w:tc>
        <w:tc>
          <w:tcPr>
            <w:tcW w:w="1500" w:type="dxa"/>
            <w:vAlign w:val="center"/>
          </w:tcPr>
          <w:p>
            <w:pPr>
              <w:spacing w:line="500" w:lineRule="exact"/>
              <w:jc w:val="center"/>
              <w:rPr>
                <w:rFonts w:hint="default"/>
                <w:sz w:val="22"/>
                <w:szCs w:val="22"/>
                <w:lang w:val="en-US" w:eastAsia="zh-CN"/>
              </w:rPr>
            </w:pPr>
            <w:r>
              <w:rPr>
                <w:rFonts w:hint="default"/>
                <w:sz w:val="22"/>
                <w:szCs w:val="22"/>
                <w:lang w:val="en-US" w:eastAsia="zh-CN"/>
              </w:rPr>
              <w:t>0.68%</w:t>
            </w:r>
          </w:p>
        </w:tc>
        <w:tc>
          <w:tcPr>
            <w:tcW w:w="1500" w:type="dxa"/>
            <w:vAlign w:val="center"/>
          </w:tcPr>
          <w:p>
            <w:pPr>
              <w:spacing w:line="500" w:lineRule="exact"/>
              <w:jc w:val="center"/>
              <w:rPr>
                <w:rFonts w:hint="default"/>
                <w:sz w:val="22"/>
                <w:szCs w:val="22"/>
                <w:lang w:val="en-US" w:eastAsia="zh-CN"/>
              </w:rPr>
            </w:pPr>
            <w:r>
              <w:rPr>
                <w:rFonts w:hint="default"/>
                <w:sz w:val="22"/>
                <w:szCs w:val="22"/>
                <w:lang w:val="en-US" w:eastAsia="zh-CN"/>
              </w:rPr>
              <w:t>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844" w:type="dxa"/>
            <w:vAlign w:val="center"/>
          </w:tcPr>
          <w:p>
            <w:pPr>
              <w:spacing w:line="500" w:lineRule="exact"/>
              <w:jc w:val="center"/>
              <w:rPr>
                <w:rFonts w:hint="eastAsia"/>
                <w:sz w:val="22"/>
                <w:szCs w:val="22"/>
                <w:lang w:val="en-US" w:eastAsia="zh-CN"/>
              </w:rPr>
            </w:pPr>
            <w:r>
              <w:rPr>
                <w:rFonts w:hint="eastAsia"/>
                <w:sz w:val="22"/>
                <w:szCs w:val="22"/>
                <w:lang w:val="en-US" w:eastAsia="zh-CN"/>
              </w:rPr>
              <w:t>水资源稀缺</w:t>
            </w:r>
          </w:p>
        </w:tc>
        <w:tc>
          <w:tcPr>
            <w:tcW w:w="1961" w:type="dxa"/>
            <w:vAlign w:val="center"/>
          </w:tcPr>
          <w:p>
            <w:pPr>
              <w:spacing w:line="500" w:lineRule="exact"/>
              <w:jc w:val="center"/>
              <w:rPr>
                <w:rFonts w:hint="eastAsia"/>
                <w:sz w:val="22"/>
                <w:szCs w:val="22"/>
              </w:rPr>
            </w:pPr>
            <w:r>
              <w:rPr>
                <w:rFonts w:hint="default"/>
                <w:sz w:val="22"/>
                <w:szCs w:val="22"/>
                <w:lang w:val="en-US" w:eastAsia="zh-CN"/>
              </w:rPr>
              <w:t>0.66%</w:t>
            </w:r>
          </w:p>
        </w:tc>
        <w:tc>
          <w:tcPr>
            <w:tcW w:w="1500" w:type="dxa"/>
            <w:vAlign w:val="center"/>
          </w:tcPr>
          <w:p>
            <w:pPr>
              <w:spacing w:line="500" w:lineRule="exact"/>
              <w:jc w:val="center"/>
              <w:rPr>
                <w:rFonts w:hint="default"/>
                <w:sz w:val="22"/>
                <w:szCs w:val="22"/>
                <w:lang w:val="en-US" w:eastAsia="zh-CN"/>
              </w:rPr>
            </w:pPr>
            <w:r>
              <w:rPr>
                <w:rFonts w:hint="default"/>
                <w:sz w:val="22"/>
                <w:szCs w:val="22"/>
                <w:lang w:val="en-US" w:eastAsia="zh-CN"/>
              </w:rPr>
              <w:t>0.51%</w:t>
            </w:r>
          </w:p>
        </w:tc>
        <w:tc>
          <w:tcPr>
            <w:tcW w:w="1500" w:type="dxa"/>
            <w:vAlign w:val="center"/>
          </w:tcPr>
          <w:p>
            <w:pPr>
              <w:spacing w:line="500" w:lineRule="exact"/>
              <w:jc w:val="center"/>
              <w:rPr>
                <w:rFonts w:hint="default"/>
                <w:sz w:val="22"/>
                <w:szCs w:val="22"/>
                <w:lang w:val="en-US" w:eastAsia="zh-CN"/>
              </w:rPr>
            </w:pPr>
            <w:r>
              <w:rPr>
                <w:rFonts w:hint="default"/>
                <w:sz w:val="22"/>
                <w:szCs w:val="22"/>
                <w:lang w:val="en-US" w:eastAsia="zh-CN"/>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844" w:type="dxa"/>
            <w:vAlign w:val="center"/>
          </w:tcPr>
          <w:p>
            <w:pPr>
              <w:spacing w:line="500" w:lineRule="exact"/>
              <w:jc w:val="center"/>
              <w:rPr>
                <w:rFonts w:hint="eastAsia"/>
                <w:sz w:val="22"/>
                <w:szCs w:val="22"/>
                <w:lang w:val="en-US" w:eastAsia="zh-CN"/>
              </w:rPr>
            </w:pPr>
            <w:r>
              <w:rPr>
                <w:rFonts w:hint="eastAsia"/>
                <w:sz w:val="22"/>
                <w:szCs w:val="22"/>
                <w:lang w:val="en-US" w:eastAsia="zh-CN"/>
              </w:rPr>
              <w:t>臭氧形成-陆地生态系数损害</w:t>
            </w:r>
          </w:p>
        </w:tc>
        <w:tc>
          <w:tcPr>
            <w:tcW w:w="1961" w:type="dxa"/>
            <w:vAlign w:val="center"/>
          </w:tcPr>
          <w:p>
            <w:pPr>
              <w:spacing w:line="500" w:lineRule="exact"/>
              <w:jc w:val="center"/>
              <w:rPr>
                <w:rFonts w:hint="eastAsia"/>
                <w:sz w:val="22"/>
                <w:szCs w:val="22"/>
              </w:rPr>
            </w:pPr>
            <w:r>
              <w:rPr>
                <w:rFonts w:hint="default"/>
                <w:sz w:val="22"/>
                <w:szCs w:val="22"/>
                <w:lang w:val="en-US" w:eastAsia="zh-CN"/>
              </w:rPr>
              <w:t>0.39%</w:t>
            </w:r>
          </w:p>
        </w:tc>
        <w:tc>
          <w:tcPr>
            <w:tcW w:w="1500" w:type="dxa"/>
            <w:vAlign w:val="center"/>
          </w:tcPr>
          <w:p>
            <w:pPr>
              <w:spacing w:line="500" w:lineRule="exact"/>
              <w:jc w:val="center"/>
              <w:rPr>
                <w:sz w:val="22"/>
                <w:szCs w:val="22"/>
              </w:rPr>
            </w:pPr>
            <w:r>
              <w:rPr>
                <w:rFonts w:hint="eastAsia"/>
                <w:sz w:val="22"/>
                <w:szCs w:val="22"/>
              </w:rPr>
              <w:t>0.</w:t>
            </w:r>
            <w:r>
              <w:rPr>
                <w:rFonts w:hint="eastAsia"/>
                <w:sz w:val="22"/>
                <w:szCs w:val="22"/>
                <w:lang w:val="en-US" w:eastAsia="zh-CN"/>
              </w:rPr>
              <w:t>46</w:t>
            </w:r>
            <w:r>
              <w:rPr>
                <w:rFonts w:hint="eastAsia"/>
                <w:sz w:val="22"/>
                <w:szCs w:val="22"/>
              </w:rPr>
              <w:t>%</w:t>
            </w:r>
          </w:p>
        </w:tc>
        <w:tc>
          <w:tcPr>
            <w:tcW w:w="1500" w:type="dxa"/>
            <w:vAlign w:val="center"/>
          </w:tcPr>
          <w:p>
            <w:pPr>
              <w:spacing w:line="500" w:lineRule="exact"/>
              <w:jc w:val="center"/>
              <w:rPr>
                <w:rFonts w:hint="default"/>
                <w:sz w:val="22"/>
                <w:szCs w:val="22"/>
                <w:lang w:val="en-US" w:eastAsia="zh-CN"/>
              </w:rPr>
            </w:pPr>
            <w:r>
              <w:rPr>
                <w:rFonts w:hint="default"/>
                <w:sz w:val="22"/>
                <w:szCs w:val="22"/>
                <w:lang w:val="en-US" w:eastAsia="zh-CN"/>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844" w:type="dxa"/>
            <w:vAlign w:val="center"/>
          </w:tcPr>
          <w:p>
            <w:pPr>
              <w:spacing w:line="500" w:lineRule="exact"/>
              <w:jc w:val="center"/>
              <w:rPr>
                <w:rFonts w:hint="eastAsia"/>
                <w:sz w:val="22"/>
                <w:szCs w:val="22"/>
                <w:lang w:val="en-US" w:eastAsia="zh-CN"/>
              </w:rPr>
            </w:pPr>
            <w:r>
              <w:rPr>
                <w:rFonts w:hint="eastAsia"/>
                <w:sz w:val="22"/>
                <w:szCs w:val="22"/>
                <w:lang w:val="en-US" w:eastAsia="zh-CN"/>
              </w:rPr>
              <w:t>淡水富营养化</w:t>
            </w:r>
          </w:p>
        </w:tc>
        <w:tc>
          <w:tcPr>
            <w:tcW w:w="1961" w:type="dxa"/>
            <w:vAlign w:val="center"/>
          </w:tcPr>
          <w:p>
            <w:pPr>
              <w:spacing w:line="500" w:lineRule="exact"/>
              <w:jc w:val="center"/>
              <w:rPr>
                <w:rFonts w:hint="eastAsia"/>
                <w:sz w:val="22"/>
                <w:szCs w:val="22"/>
              </w:rPr>
            </w:pPr>
            <w:r>
              <w:rPr>
                <w:rFonts w:hint="default"/>
                <w:sz w:val="22"/>
                <w:szCs w:val="22"/>
                <w:lang w:val="en-US" w:eastAsia="zh-CN"/>
              </w:rPr>
              <w:t>0.13%</w:t>
            </w:r>
          </w:p>
        </w:tc>
        <w:tc>
          <w:tcPr>
            <w:tcW w:w="1500" w:type="dxa"/>
            <w:vAlign w:val="center"/>
          </w:tcPr>
          <w:p>
            <w:pPr>
              <w:spacing w:line="500" w:lineRule="exact"/>
              <w:jc w:val="center"/>
              <w:rPr>
                <w:sz w:val="22"/>
                <w:szCs w:val="22"/>
              </w:rPr>
            </w:pPr>
            <w:r>
              <w:rPr>
                <w:rFonts w:hint="eastAsia"/>
                <w:sz w:val="22"/>
                <w:szCs w:val="22"/>
              </w:rPr>
              <w:t>0.</w:t>
            </w:r>
            <w:r>
              <w:rPr>
                <w:rFonts w:hint="eastAsia"/>
                <w:sz w:val="22"/>
                <w:szCs w:val="22"/>
                <w:lang w:val="en-US" w:eastAsia="zh-CN"/>
              </w:rPr>
              <w:t>1</w:t>
            </w:r>
            <w:r>
              <w:rPr>
                <w:rFonts w:hint="eastAsia"/>
                <w:sz w:val="22"/>
                <w:szCs w:val="22"/>
              </w:rPr>
              <w:t>1%</w:t>
            </w:r>
          </w:p>
        </w:tc>
        <w:tc>
          <w:tcPr>
            <w:tcW w:w="1500" w:type="dxa"/>
            <w:vAlign w:val="center"/>
          </w:tcPr>
          <w:p>
            <w:pPr>
              <w:spacing w:line="500" w:lineRule="exact"/>
              <w:jc w:val="center"/>
              <w:rPr>
                <w:rFonts w:hint="default"/>
                <w:sz w:val="22"/>
                <w:szCs w:val="22"/>
                <w:lang w:val="en-US" w:eastAsia="zh-CN"/>
              </w:rPr>
            </w:pPr>
            <w:r>
              <w:rPr>
                <w:rFonts w:hint="default"/>
                <w:sz w:val="22"/>
                <w:szCs w:val="22"/>
                <w:lang w:val="en-US" w:eastAsia="zh-CN"/>
              </w:rPr>
              <w:t>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844" w:type="dxa"/>
            <w:vAlign w:val="center"/>
          </w:tcPr>
          <w:p>
            <w:pPr>
              <w:spacing w:line="500" w:lineRule="exact"/>
              <w:jc w:val="center"/>
              <w:rPr>
                <w:rFonts w:hint="eastAsia"/>
                <w:sz w:val="22"/>
                <w:szCs w:val="22"/>
                <w:lang w:val="en-US" w:eastAsia="zh-CN"/>
              </w:rPr>
            </w:pPr>
            <w:r>
              <w:rPr>
                <w:rFonts w:hint="eastAsia"/>
                <w:sz w:val="22"/>
                <w:szCs w:val="22"/>
                <w:lang w:val="en-US" w:eastAsia="zh-CN"/>
              </w:rPr>
              <w:t>土地占用</w:t>
            </w:r>
          </w:p>
        </w:tc>
        <w:tc>
          <w:tcPr>
            <w:tcW w:w="1961" w:type="dxa"/>
            <w:vAlign w:val="center"/>
          </w:tcPr>
          <w:p>
            <w:pPr>
              <w:spacing w:line="500" w:lineRule="exact"/>
              <w:jc w:val="center"/>
              <w:rPr>
                <w:rFonts w:hint="eastAsia"/>
                <w:sz w:val="22"/>
                <w:szCs w:val="22"/>
              </w:rPr>
            </w:pPr>
            <w:r>
              <w:rPr>
                <w:rFonts w:hint="default"/>
                <w:sz w:val="22"/>
                <w:szCs w:val="22"/>
                <w:lang w:val="en-US" w:eastAsia="zh-CN"/>
              </w:rPr>
              <w:t>0.11%</w:t>
            </w:r>
          </w:p>
        </w:tc>
        <w:tc>
          <w:tcPr>
            <w:tcW w:w="1500" w:type="dxa"/>
            <w:vAlign w:val="center"/>
          </w:tcPr>
          <w:p>
            <w:pPr>
              <w:spacing w:line="500" w:lineRule="exact"/>
              <w:jc w:val="center"/>
              <w:rPr>
                <w:sz w:val="22"/>
                <w:szCs w:val="22"/>
              </w:rPr>
            </w:pPr>
            <w:r>
              <w:rPr>
                <w:rFonts w:hint="eastAsia"/>
                <w:sz w:val="22"/>
                <w:szCs w:val="22"/>
              </w:rPr>
              <w:t>0.</w:t>
            </w:r>
            <w:r>
              <w:rPr>
                <w:rFonts w:hint="eastAsia"/>
                <w:sz w:val="22"/>
                <w:szCs w:val="22"/>
                <w:lang w:val="en-US" w:eastAsia="zh-CN"/>
              </w:rPr>
              <w:t>1</w:t>
            </w:r>
            <w:r>
              <w:rPr>
                <w:rFonts w:hint="eastAsia"/>
                <w:sz w:val="22"/>
                <w:szCs w:val="22"/>
              </w:rPr>
              <w:t>0%</w:t>
            </w:r>
          </w:p>
        </w:tc>
        <w:tc>
          <w:tcPr>
            <w:tcW w:w="1500" w:type="dxa"/>
            <w:vAlign w:val="center"/>
          </w:tcPr>
          <w:p>
            <w:pPr>
              <w:spacing w:line="500" w:lineRule="exact"/>
              <w:jc w:val="center"/>
              <w:rPr>
                <w:rFonts w:hint="default"/>
                <w:sz w:val="22"/>
                <w:szCs w:val="22"/>
                <w:lang w:val="en-US" w:eastAsia="zh-CN"/>
              </w:rPr>
            </w:pPr>
            <w:r>
              <w:rPr>
                <w:rFonts w:hint="default"/>
                <w:sz w:val="22"/>
                <w:szCs w:val="22"/>
                <w:lang w:val="en-US" w:eastAsia="zh-CN"/>
              </w:rPr>
              <w:t>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844" w:type="dxa"/>
            <w:vAlign w:val="center"/>
          </w:tcPr>
          <w:p>
            <w:pPr>
              <w:spacing w:line="500" w:lineRule="exact"/>
              <w:jc w:val="center"/>
              <w:rPr>
                <w:rFonts w:hint="eastAsia"/>
                <w:sz w:val="22"/>
                <w:szCs w:val="22"/>
                <w:lang w:val="en-US" w:eastAsia="zh-CN"/>
              </w:rPr>
            </w:pPr>
            <w:r>
              <w:rPr>
                <w:rFonts w:hint="eastAsia"/>
                <w:sz w:val="22"/>
                <w:szCs w:val="22"/>
                <w:lang w:val="en-US" w:eastAsia="zh-CN"/>
              </w:rPr>
              <w:t>臭氧形成-人体健康损害</w:t>
            </w:r>
          </w:p>
        </w:tc>
        <w:tc>
          <w:tcPr>
            <w:tcW w:w="1961" w:type="dxa"/>
            <w:vAlign w:val="center"/>
          </w:tcPr>
          <w:p>
            <w:pPr>
              <w:spacing w:line="500" w:lineRule="exact"/>
              <w:jc w:val="center"/>
              <w:rPr>
                <w:rFonts w:hint="eastAsia"/>
                <w:sz w:val="22"/>
                <w:szCs w:val="22"/>
              </w:rPr>
            </w:pPr>
            <w:r>
              <w:rPr>
                <w:rFonts w:hint="default"/>
                <w:sz w:val="22"/>
                <w:szCs w:val="22"/>
                <w:lang w:val="en-US" w:eastAsia="zh-CN"/>
              </w:rPr>
              <w:t>0.08%</w:t>
            </w:r>
          </w:p>
        </w:tc>
        <w:tc>
          <w:tcPr>
            <w:tcW w:w="1500" w:type="dxa"/>
            <w:vAlign w:val="center"/>
          </w:tcPr>
          <w:p>
            <w:pPr>
              <w:spacing w:line="500" w:lineRule="exact"/>
              <w:jc w:val="center"/>
              <w:rPr>
                <w:sz w:val="22"/>
                <w:szCs w:val="22"/>
              </w:rPr>
            </w:pPr>
            <w:r>
              <w:rPr>
                <w:rFonts w:hint="eastAsia"/>
                <w:sz w:val="22"/>
                <w:szCs w:val="22"/>
              </w:rPr>
              <w:t>0.</w:t>
            </w:r>
            <w:r>
              <w:rPr>
                <w:rFonts w:hint="eastAsia"/>
                <w:sz w:val="22"/>
                <w:szCs w:val="22"/>
                <w:lang w:val="en-US" w:eastAsia="zh-CN"/>
              </w:rPr>
              <w:t>1</w:t>
            </w:r>
            <w:r>
              <w:rPr>
                <w:rFonts w:hint="eastAsia"/>
                <w:sz w:val="22"/>
                <w:szCs w:val="22"/>
              </w:rPr>
              <w:t>0%</w:t>
            </w:r>
          </w:p>
        </w:tc>
        <w:tc>
          <w:tcPr>
            <w:tcW w:w="1500" w:type="dxa"/>
            <w:vAlign w:val="center"/>
          </w:tcPr>
          <w:p>
            <w:pPr>
              <w:spacing w:line="500" w:lineRule="exact"/>
              <w:jc w:val="center"/>
              <w:rPr>
                <w:rFonts w:hint="default"/>
                <w:sz w:val="22"/>
                <w:szCs w:val="22"/>
                <w:lang w:val="en-US" w:eastAsia="zh-CN"/>
              </w:rPr>
            </w:pPr>
            <w:r>
              <w:rPr>
                <w:rFonts w:hint="default"/>
                <w:sz w:val="22"/>
                <w:szCs w:val="22"/>
                <w:lang w:val="en-US" w:eastAsia="zh-CN"/>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844" w:type="dxa"/>
            <w:vAlign w:val="center"/>
          </w:tcPr>
          <w:p>
            <w:pPr>
              <w:spacing w:line="500" w:lineRule="exact"/>
              <w:jc w:val="center"/>
              <w:rPr>
                <w:rFonts w:hint="eastAsia"/>
                <w:sz w:val="22"/>
                <w:szCs w:val="22"/>
                <w:lang w:val="en-US" w:eastAsia="zh-CN"/>
              </w:rPr>
            </w:pPr>
            <w:r>
              <w:rPr>
                <w:rFonts w:hint="eastAsia"/>
                <w:sz w:val="22"/>
                <w:szCs w:val="22"/>
                <w:lang w:val="en-US" w:eastAsia="zh-CN"/>
              </w:rPr>
              <w:t>淡水生态系数毒性</w:t>
            </w:r>
          </w:p>
        </w:tc>
        <w:tc>
          <w:tcPr>
            <w:tcW w:w="1961" w:type="dxa"/>
            <w:vAlign w:val="center"/>
          </w:tcPr>
          <w:p>
            <w:pPr>
              <w:spacing w:line="500" w:lineRule="exact"/>
              <w:jc w:val="center"/>
              <w:rPr>
                <w:rFonts w:hint="eastAsia"/>
                <w:sz w:val="22"/>
                <w:szCs w:val="22"/>
              </w:rPr>
            </w:pPr>
            <w:r>
              <w:rPr>
                <w:rFonts w:hint="default"/>
                <w:sz w:val="22"/>
                <w:szCs w:val="22"/>
                <w:lang w:val="en-US" w:eastAsia="zh-CN"/>
              </w:rPr>
              <w:t>0.05%</w:t>
            </w:r>
          </w:p>
        </w:tc>
        <w:tc>
          <w:tcPr>
            <w:tcW w:w="1500" w:type="dxa"/>
            <w:vAlign w:val="center"/>
          </w:tcPr>
          <w:p>
            <w:pPr>
              <w:spacing w:line="500" w:lineRule="exact"/>
              <w:jc w:val="center"/>
              <w:rPr>
                <w:sz w:val="22"/>
                <w:szCs w:val="22"/>
              </w:rPr>
            </w:pPr>
            <w:r>
              <w:rPr>
                <w:rFonts w:hint="eastAsia"/>
                <w:sz w:val="22"/>
                <w:szCs w:val="22"/>
              </w:rPr>
              <w:t>0.</w:t>
            </w:r>
            <w:r>
              <w:rPr>
                <w:rFonts w:hint="eastAsia"/>
                <w:sz w:val="22"/>
                <w:szCs w:val="22"/>
                <w:lang w:val="en-US" w:eastAsia="zh-CN"/>
              </w:rPr>
              <w:t>04</w:t>
            </w:r>
            <w:r>
              <w:rPr>
                <w:rFonts w:hint="eastAsia"/>
                <w:sz w:val="22"/>
                <w:szCs w:val="22"/>
              </w:rPr>
              <w:t>%</w:t>
            </w:r>
          </w:p>
        </w:tc>
        <w:tc>
          <w:tcPr>
            <w:tcW w:w="1500" w:type="dxa"/>
            <w:vAlign w:val="center"/>
          </w:tcPr>
          <w:p>
            <w:pPr>
              <w:spacing w:line="500" w:lineRule="exact"/>
              <w:jc w:val="center"/>
              <w:rPr>
                <w:rFonts w:hint="default"/>
                <w:sz w:val="22"/>
                <w:szCs w:val="22"/>
                <w:lang w:val="en-US" w:eastAsia="zh-CN"/>
              </w:rPr>
            </w:pPr>
            <w:r>
              <w:rPr>
                <w:rFonts w:hint="default"/>
                <w:sz w:val="22"/>
                <w:szCs w:val="22"/>
                <w:lang w:val="en-US" w:eastAsia="zh-CN"/>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844" w:type="dxa"/>
            <w:vAlign w:val="center"/>
          </w:tcPr>
          <w:p>
            <w:pPr>
              <w:spacing w:line="500" w:lineRule="exact"/>
              <w:jc w:val="center"/>
              <w:rPr>
                <w:rFonts w:hint="eastAsia"/>
                <w:sz w:val="22"/>
                <w:szCs w:val="22"/>
                <w:lang w:val="en-US" w:eastAsia="zh-CN"/>
              </w:rPr>
            </w:pPr>
            <w:r>
              <w:rPr>
                <w:rFonts w:hint="eastAsia"/>
                <w:sz w:val="22"/>
                <w:szCs w:val="22"/>
                <w:lang w:val="en-US" w:eastAsia="zh-CN"/>
              </w:rPr>
              <w:t>陆地生态系统毒性</w:t>
            </w:r>
          </w:p>
        </w:tc>
        <w:tc>
          <w:tcPr>
            <w:tcW w:w="1961" w:type="dxa"/>
            <w:vAlign w:val="center"/>
          </w:tcPr>
          <w:p>
            <w:pPr>
              <w:spacing w:line="500" w:lineRule="exact"/>
              <w:jc w:val="center"/>
              <w:rPr>
                <w:rFonts w:hint="eastAsia"/>
                <w:sz w:val="22"/>
                <w:szCs w:val="22"/>
              </w:rPr>
            </w:pPr>
            <w:r>
              <w:rPr>
                <w:rFonts w:hint="default"/>
                <w:sz w:val="22"/>
                <w:szCs w:val="22"/>
                <w:lang w:val="en-US" w:eastAsia="zh-CN"/>
              </w:rPr>
              <w:t>0.03%</w:t>
            </w:r>
          </w:p>
        </w:tc>
        <w:tc>
          <w:tcPr>
            <w:tcW w:w="1500" w:type="dxa"/>
            <w:vAlign w:val="center"/>
          </w:tcPr>
          <w:p>
            <w:pPr>
              <w:spacing w:line="500" w:lineRule="exact"/>
              <w:jc w:val="center"/>
              <w:rPr>
                <w:sz w:val="22"/>
                <w:szCs w:val="22"/>
              </w:rPr>
            </w:pPr>
            <w:r>
              <w:rPr>
                <w:rFonts w:hint="eastAsia"/>
                <w:sz w:val="22"/>
                <w:szCs w:val="22"/>
              </w:rPr>
              <w:t>0.</w:t>
            </w:r>
            <w:r>
              <w:rPr>
                <w:rFonts w:hint="eastAsia"/>
                <w:sz w:val="22"/>
                <w:szCs w:val="22"/>
                <w:lang w:val="en-US" w:eastAsia="zh-CN"/>
              </w:rPr>
              <w:t>03</w:t>
            </w:r>
            <w:r>
              <w:rPr>
                <w:rFonts w:hint="eastAsia"/>
                <w:sz w:val="22"/>
                <w:szCs w:val="22"/>
              </w:rPr>
              <w:t>%</w:t>
            </w:r>
          </w:p>
        </w:tc>
        <w:tc>
          <w:tcPr>
            <w:tcW w:w="1500" w:type="dxa"/>
            <w:vAlign w:val="center"/>
          </w:tcPr>
          <w:p>
            <w:pPr>
              <w:spacing w:line="500" w:lineRule="exact"/>
              <w:jc w:val="center"/>
              <w:rPr>
                <w:rFonts w:hint="default"/>
                <w:sz w:val="22"/>
                <w:szCs w:val="22"/>
                <w:lang w:val="en-US" w:eastAsia="zh-CN"/>
              </w:rPr>
            </w:pPr>
            <w:r>
              <w:rPr>
                <w:rFonts w:hint="default"/>
                <w:sz w:val="22"/>
                <w:szCs w:val="22"/>
                <w:lang w:val="en-US" w:eastAsia="zh-CN"/>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844" w:type="dxa"/>
            <w:vAlign w:val="center"/>
          </w:tcPr>
          <w:p>
            <w:pPr>
              <w:spacing w:line="500" w:lineRule="exact"/>
              <w:jc w:val="center"/>
              <w:rPr>
                <w:rFonts w:hint="eastAsia"/>
                <w:sz w:val="22"/>
                <w:szCs w:val="22"/>
              </w:rPr>
            </w:pPr>
            <w:r>
              <w:rPr>
                <w:rFonts w:hint="eastAsia"/>
                <w:sz w:val="22"/>
                <w:szCs w:val="22"/>
                <w:lang w:val="en-US" w:eastAsia="zh-CN"/>
              </w:rPr>
              <w:t>电离辐射</w:t>
            </w:r>
          </w:p>
        </w:tc>
        <w:tc>
          <w:tcPr>
            <w:tcW w:w="1961" w:type="dxa"/>
            <w:vAlign w:val="center"/>
          </w:tcPr>
          <w:p>
            <w:pPr>
              <w:spacing w:line="500" w:lineRule="exact"/>
              <w:jc w:val="center"/>
              <w:rPr>
                <w:rFonts w:hint="eastAsia"/>
                <w:sz w:val="22"/>
                <w:szCs w:val="22"/>
              </w:rPr>
            </w:pPr>
            <w:r>
              <w:rPr>
                <w:rFonts w:hint="default"/>
                <w:sz w:val="22"/>
                <w:szCs w:val="22"/>
                <w:lang w:val="en-US" w:eastAsia="zh-CN"/>
              </w:rPr>
              <w:t>0.01%</w:t>
            </w:r>
          </w:p>
        </w:tc>
        <w:tc>
          <w:tcPr>
            <w:tcW w:w="1500" w:type="dxa"/>
            <w:vAlign w:val="center"/>
          </w:tcPr>
          <w:p>
            <w:pPr>
              <w:spacing w:line="500" w:lineRule="exact"/>
              <w:jc w:val="center"/>
              <w:rPr>
                <w:sz w:val="22"/>
                <w:szCs w:val="22"/>
              </w:rPr>
            </w:pPr>
            <w:r>
              <w:rPr>
                <w:rFonts w:hint="eastAsia"/>
                <w:sz w:val="22"/>
                <w:szCs w:val="22"/>
              </w:rPr>
              <w:t>0.0</w:t>
            </w:r>
            <w:r>
              <w:rPr>
                <w:rFonts w:hint="eastAsia"/>
                <w:sz w:val="22"/>
                <w:szCs w:val="22"/>
                <w:lang w:val="en-US" w:eastAsia="zh-CN"/>
              </w:rPr>
              <w:t>1</w:t>
            </w:r>
            <w:r>
              <w:rPr>
                <w:rFonts w:hint="eastAsia"/>
                <w:sz w:val="22"/>
                <w:szCs w:val="22"/>
              </w:rPr>
              <w:t>%</w:t>
            </w:r>
          </w:p>
        </w:tc>
        <w:tc>
          <w:tcPr>
            <w:tcW w:w="1500" w:type="dxa"/>
            <w:vAlign w:val="center"/>
          </w:tcPr>
          <w:p>
            <w:pPr>
              <w:spacing w:line="500" w:lineRule="exact"/>
              <w:jc w:val="center"/>
              <w:rPr>
                <w:rFonts w:hint="default"/>
                <w:sz w:val="22"/>
                <w:szCs w:val="22"/>
                <w:lang w:val="en-US" w:eastAsia="zh-CN"/>
              </w:rPr>
            </w:pPr>
            <w:r>
              <w:rPr>
                <w:rFonts w:hint="default"/>
                <w:sz w:val="22"/>
                <w:szCs w:val="22"/>
                <w:lang w:val="en-US" w:eastAsia="zh-CN"/>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844" w:type="dxa"/>
            <w:vAlign w:val="center"/>
          </w:tcPr>
          <w:p>
            <w:pPr>
              <w:spacing w:line="500" w:lineRule="exact"/>
              <w:jc w:val="center"/>
              <w:rPr>
                <w:rFonts w:hint="eastAsia"/>
                <w:sz w:val="22"/>
                <w:szCs w:val="22"/>
              </w:rPr>
            </w:pPr>
            <w:r>
              <w:rPr>
                <w:rFonts w:hint="eastAsia"/>
                <w:sz w:val="22"/>
                <w:szCs w:val="22"/>
                <w:lang w:val="en-US" w:eastAsia="zh-CN"/>
              </w:rPr>
              <w:t>海水生态系统毒性</w:t>
            </w:r>
          </w:p>
        </w:tc>
        <w:tc>
          <w:tcPr>
            <w:tcW w:w="1961" w:type="dxa"/>
            <w:vAlign w:val="center"/>
          </w:tcPr>
          <w:p>
            <w:pPr>
              <w:spacing w:line="500" w:lineRule="exact"/>
              <w:jc w:val="center"/>
              <w:rPr>
                <w:rFonts w:hint="eastAsia"/>
                <w:sz w:val="22"/>
                <w:szCs w:val="22"/>
              </w:rPr>
            </w:pPr>
            <w:r>
              <w:rPr>
                <w:rFonts w:hint="default"/>
                <w:sz w:val="22"/>
                <w:szCs w:val="22"/>
                <w:lang w:val="en-US" w:eastAsia="zh-CN"/>
              </w:rPr>
              <w:t>0.01%</w:t>
            </w:r>
          </w:p>
        </w:tc>
        <w:tc>
          <w:tcPr>
            <w:tcW w:w="1500" w:type="dxa"/>
            <w:vAlign w:val="center"/>
          </w:tcPr>
          <w:p>
            <w:pPr>
              <w:spacing w:line="500" w:lineRule="exact"/>
              <w:jc w:val="center"/>
              <w:rPr>
                <w:sz w:val="22"/>
                <w:szCs w:val="22"/>
              </w:rPr>
            </w:pPr>
            <w:r>
              <w:rPr>
                <w:rFonts w:hint="eastAsia"/>
                <w:sz w:val="22"/>
                <w:szCs w:val="22"/>
              </w:rPr>
              <w:t>0.</w:t>
            </w:r>
            <w:r>
              <w:rPr>
                <w:rFonts w:hint="eastAsia"/>
                <w:sz w:val="22"/>
                <w:szCs w:val="22"/>
                <w:lang w:val="en-US" w:eastAsia="zh-CN"/>
              </w:rPr>
              <w:t>01</w:t>
            </w:r>
            <w:r>
              <w:rPr>
                <w:rFonts w:hint="eastAsia"/>
                <w:sz w:val="22"/>
                <w:szCs w:val="22"/>
              </w:rPr>
              <w:t>%</w:t>
            </w:r>
          </w:p>
        </w:tc>
        <w:tc>
          <w:tcPr>
            <w:tcW w:w="1500" w:type="dxa"/>
            <w:vAlign w:val="center"/>
          </w:tcPr>
          <w:p>
            <w:pPr>
              <w:spacing w:line="500" w:lineRule="exact"/>
              <w:jc w:val="center"/>
              <w:rPr>
                <w:rFonts w:hint="default"/>
                <w:sz w:val="22"/>
                <w:szCs w:val="22"/>
                <w:lang w:val="en-US" w:eastAsia="zh-CN"/>
              </w:rPr>
            </w:pPr>
            <w:r>
              <w:rPr>
                <w:rFonts w:hint="default"/>
                <w:sz w:val="22"/>
                <w:szCs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844" w:type="dxa"/>
            <w:vAlign w:val="center"/>
          </w:tcPr>
          <w:p>
            <w:pPr>
              <w:spacing w:line="500" w:lineRule="exact"/>
              <w:jc w:val="center"/>
              <w:rPr>
                <w:rFonts w:hint="eastAsia"/>
                <w:sz w:val="22"/>
                <w:szCs w:val="22"/>
              </w:rPr>
            </w:pPr>
            <w:r>
              <w:rPr>
                <w:rFonts w:hint="eastAsia"/>
                <w:sz w:val="22"/>
                <w:szCs w:val="22"/>
                <w:lang w:val="en-US" w:eastAsia="zh-CN"/>
              </w:rPr>
              <w:t>臭氧消耗</w:t>
            </w:r>
          </w:p>
        </w:tc>
        <w:tc>
          <w:tcPr>
            <w:tcW w:w="1961" w:type="dxa"/>
            <w:vAlign w:val="center"/>
          </w:tcPr>
          <w:p>
            <w:pPr>
              <w:spacing w:line="500" w:lineRule="exact"/>
              <w:jc w:val="center"/>
              <w:rPr>
                <w:rFonts w:hint="eastAsia"/>
                <w:sz w:val="22"/>
                <w:szCs w:val="22"/>
              </w:rPr>
            </w:pPr>
            <w:r>
              <w:rPr>
                <w:rFonts w:hint="default"/>
                <w:sz w:val="22"/>
                <w:szCs w:val="22"/>
                <w:lang w:val="en-US" w:eastAsia="zh-CN"/>
              </w:rPr>
              <w:t>0.00%</w:t>
            </w:r>
          </w:p>
        </w:tc>
        <w:tc>
          <w:tcPr>
            <w:tcW w:w="1500" w:type="dxa"/>
            <w:vAlign w:val="center"/>
          </w:tcPr>
          <w:p>
            <w:pPr>
              <w:spacing w:line="500" w:lineRule="exact"/>
              <w:jc w:val="center"/>
              <w:rPr>
                <w:sz w:val="22"/>
                <w:szCs w:val="22"/>
              </w:rPr>
            </w:pPr>
            <w:r>
              <w:rPr>
                <w:rFonts w:hint="eastAsia"/>
                <w:sz w:val="22"/>
                <w:szCs w:val="22"/>
                <w:lang w:val="en-US" w:eastAsia="zh-CN"/>
              </w:rPr>
              <w:t>0.05</w:t>
            </w:r>
            <w:r>
              <w:rPr>
                <w:rFonts w:hint="eastAsia"/>
                <w:sz w:val="22"/>
                <w:szCs w:val="22"/>
              </w:rPr>
              <w:t>%</w:t>
            </w:r>
          </w:p>
        </w:tc>
        <w:tc>
          <w:tcPr>
            <w:tcW w:w="1500" w:type="dxa"/>
            <w:vAlign w:val="center"/>
          </w:tcPr>
          <w:p>
            <w:pPr>
              <w:spacing w:line="500" w:lineRule="exact"/>
              <w:jc w:val="center"/>
              <w:rPr>
                <w:rFonts w:hint="default"/>
                <w:sz w:val="22"/>
                <w:szCs w:val="22"/>
                <w:lang w:val="en-US" w:eastAsia="zh-CN"/>
              </w:rPr>
            </w:pPr>
            <w:r>
              <w:rPr>
                <w:rFonts w:hint="default"/>
                <w:sz w:val="22"/>
                <w:szCs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844" w:type="dxa"/>
            <w:vAlign w:val="center"/>
          </w:tcPr>
          <w:p>
            <w:pPr>
              <w:spacing w:line="500" w:lineRule="exact"/>
              <w:jc w:val="center"/>
              <w:rPr>
                <w:rFonts w:hint="eastAsia"/>
                <w:sz w:val="22"/>
                <w:szCs w:val="22"/>
              </w:rPr>
            </w:pPr>
            <w:r>
              <w:rPr>
                <w:rFonts w:hint="eastAsia"/>
                <w:sz w:val="22"/>
                <w:szCs w:val="22"/>
                <w:lang w:val="en-US" w:eastAsia="zh-CN"/>
              </w:rPr>
              <w:t>矿物资源稀缺</w:t>
            </w:r>
          </w:p>
        </w:tc>
        <w:tc>
          <w:tcPr>
            <w:tcW w:w="1961" w:type="dxa"/>
            <w:vAlign w:val="center"/>
          </w:tcPr>
          <w:p>
            <w:pPr>
              <w:spacing w:line="500" w:lineRule="exact"/>
              <w:jc w:val="center"/>
              <w:rPr>
                <w:rFonts w:hint="eastAsia"/>
                <w:sz w:val="22"/>
                <w:szCs w:val="22"/>
              </w:rPr>
            </w:pPr>
            <w:r>
              <w:rPr>
                <w:rFonts w:hint="default"/>
                <w:sz w:val="22"/>
                <w:szCs w:val="22"/>
                <w:lang w:val="en-US" w:eastAsia="zh-CN"/>
              </w:rPr>
              <w:t>0.00%</w:t>
            </w:r>
          </w:p>
        </w:tc>
        <w:tc>
          <w:tcPr>
            <w:tcW w:w="1500" w:type="dxa"/>
            <w:vAlign w:val="center"/>
          </w:tcPr>
          <w:p>
            <w:pPr>
              <w:spacing w:line="500" w:lineRule="exact"/>
              <w:jc w:val="center"/>
              <w:rPr>
                <w:sz w:val="22"/>
                <w:szCs w:val="22"/>
              </w:rPr>
            </w:pPr>
            <w:r>
              <w:rPr>
                <w:rFonts w:hint="eastAsia"/>
                <w:sz w:val="22"/>
                <w:szCs w:val="22"/>
              </w:rPr>
              <w:t>0.</w:t>
            </w:r>
            <w:r>
              <w:rPr>
                <w:rFonts w:hint="eastAsia"/>
                <w:sz w:val="22"/>
                <w:szCs w:val="22"/>
                <w:lang w:val="en-US" w:eastAsia="zh-CN"/>
              </w:rPr>
              <w:t>04</w:t>
            </w:r>
            <w:r>
              <w:rPr>
                <w:rFonts w:hint="eastAsia"/>
                <w:sz w:val="22"/>
                <w:szCs w:val="22"/>
              </w:rPr>
              <w:t>%</w:t>
            </w:r>
          </w:p>
        </w:tc>
        <w:tc>
          <w:tcPr>
            <w:tcW w:w="1500" w:type="dxa"/>
            <w:vAlign w:val="center"/>
          </w:tcPr>
          <w:p>
            <w:pPr>
              <w:keepNext w:val="0"/>
              <w:keepLines w:val="0"/>
              <w:widowControl/>
              <w:suppressLineNumbers w:val="0"/>
              <w:jc w:val="center"/>
              <w:textAlignment w:val="bottom"/>
              <w:rPr>
                <w:sz w:val="22"/>
                <w:szCs w:val="22"/>
              </w:rPr>
            </w:pPr>
            <w:r>
              <w:rPr>
                <w:rFonts w:hint="default" w:ascii="Times New Roman" w:hAnsi="Times New Roman" w:eastAsia="宋体" w:cs="Times New Roman"/>
                <w:i w:val="0"/>
                <w:iCs w:val="0"/>
                <w:color w:val="000000"/>
                <w:kern w:val="0"/>
                <w:sz w:val="22"/>
                <w:szCs w:val="22"/>
                <w:u w:val="none"/>
                <w:lang w:val="en-US" w:eastAsia="zh-CN" w:bidi="ar"/>
              </w:rPr>
              <w:t>0.00%</w:t>
            </w:r>
          </w:p>
        </w:tc>
      </w:tr>
    </w:tbl>
    <w:p>
      <w:pPr>
        <w:pStyle w:val="33"/>
        <w:spacing w:before="156" w:after="156" w:line="500" w:lineRule="exact"/>
        <w:rPr>
          <w:szCs w:val="24"/>
        </w:rPr>
      </w:pPr>
      <w:bookmarkStart w:id="61" w:name="_Toc66714175"/>
      <w:r>
        <w:rPr>
          <w:rFonts w:hint="eastAsia"/>
          <w:szCs w:val="24"/>
        </w:rPr>
        <w:t>五、产业化情况、推广应用论证和预期达到的经济效果等情况</w:t>
      </w:r>
      <w:bookmarkEnd w:id="61"/>
    </w:p>
    <w:p>
      <w:pPr>
        <w:spacing w:line="500" w:lineRule="exact"/>
        <w:ind w:firstLine="482" w:firstLineChars="200"/>
        <w:jc w:val="left"/>
        <w:rPr>
          <w:b/>
          <w:bCs/>
          <w:kern w:val="0"/>
          <w:sz w:val="24"/>
        </w:rPr>
      </w:pPr>
      <w:r>
        <w:rPr>
          <w:rFonts w:hint="eastAsia"/>
          <w:b/>
          <w:bCs/>
          <w:kern w:val="0"/>
          <w:sz w:val="24"/>
        </w:rPr>
        <w:t>（一）经济效益、社会效益、产业规模、推广应用、工程应用情况、预期达到的经济、社会效益</w:t>
      </w:r>
    </w:p>
    <w:p>
      <w:pPr>
        <w:spacing w:line="500" w:lineRule="exact"/>
        <w:ind w:firstLine="480" w:firstLineChars="200"/>
        <w:jc w:val="left"/>
        <w:rPr>
          <w:kern w:val="0"/>
          <w:sz w:val="24"/>
        </w:rPr>
      </w:pPr>
      <w:r>
        <w:rPr>
          <w:rFonts w:hint="eastAsia"/>
          <w:kern w:val="0"/>
          <w:sz w:val="24"/>
        </w:rPr>
        <w:t>（1）社会效益</w:t>
      </w:r>
    </w:p>
    <w:p>
      <w:pPr>
        <w:spacing w:line="500" w:lineRule="exact"/>
        <w:ind w:firstLine="480" w:firstLineChars="200"/>
        <w:jc w:val="left"/>
        <w:rPr>
          <w:kern w:val="0"/>
          <w:sz w:val="24"/>
        </w:rPr>
      </w:pPr>
      <w:r>
        <w:rPr>
          <w:rFonts w:hint="eastAsia"/>
          <w:kern w:val="0"/>
          <w:sz w:val="24"/>
        </w:rPr>
        <w:t xml:space="preserve">从标准化效益评价的角度出发，绿色工厂评价标准的实施主要为了实现节能环保、促进社会发展的社会效益。基于《标准化效益评价 第二部分：社会效益评价通则》（GB/T 3533.2-2017）标准，我们设计了《绿色设计产品评价技术规范 </w:t>
      </w:r>
      <w:r>
        <w:rPr>
          <w:rFonts w:hint="eastAsia"/>
          <w:kern w:val="0"/>
          <w:sz w:val="24"/>
          <w:lang w:eastAsia="zh-CN"/>
        </w:rPr>
        <w:t>镁碳砖</w:t>
      </w:r>
      <w:r>
        <w:rPr>
          <w:rFonts w:hint="eastAsia"/>
          <w:kern w:val="0"/>
          <w:sz w:val="24"/>
        </w:rPr>
        <w:t>》实施的社会效益评价指标体系。通过利用层次分析法（“AHP”法）对评价指标体系进行了权重确定。标准起草组通过邀请10名建材行业专家组围绕社会效益影响进行了综合评价，评分规则以GB/T 3533.2规定的十分制五级评价方法进行。评价表格式见表</w:t>
      </w:r>
      <w:r>
        <w:rPr>
          <w:kern w:val="0"/>
          <w:sz w:val="24"/>
        </w:rPr>
        <w:t>5-1</w:t>
      </w:r>
      <w:r>
        <w:rPr>
          <w:rFonts w:hint="eastAsia"/>
          <w:kern w:val="0"/>
          <w:sz w:val="24"/>
        </w:rPr>
        <w:t>。</w:t>
      </w:r>
    </w:p>
    <w:p>
      <w:pPr>
        <w:spacing w:line="500" w:lineRule="exact"/>
        <w:jc w:val="center"/>
        <w:rPr>
          <w:kern w:val="0"/>
          <w:sz w:val="24"/>
        </w:rPr>
      </w:pPr>
      <w:r>
        <w:rPr>
          <w:rFonts w:hint="eastAsia"/>
          <w:kern w:val="0"/>
          <w:sz w:val="24"/>
        </w:rPr>
        <w:t>表5</w:t>
      </w:r>
      <w:r>
        <w:rPr>
          <w:kern w:val="0"/>
          <w:sz w:val="24"/>
        </w:rPr>
        <w:t xml:space="preserve">-1 </w:t>
      </w:r>
      <w:r>
        <w:rPr>
          <w:rFonts w:hint="eastAsia"/>
          <w:kern w:val="0"/>
          <w:sz w:val="24"/>
        </w:rPr>
        <w:t>社会效益影响程度评价表</w:t>
      </w:r>
    </w:p>
    <w:tbl>
      <w:tblPr>
        <w:tblStyle w:val="24"/>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832"/>
        <w:gridCol w:w="700"/>
        <w:gridCol w:w="1131"/>
        <w:gridCol w:w="3846"/>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87" w:type="dxa"/>
            <w:shd w:val="clear" w:color="auto" w:fill="E7E6E6"/>
            <w:vAlign w:val="center"/>
          </w:tcPr>
          <w:p>
            <w:pPr>
              <w:jc w:val="center"/>
              <w:rPr>
                <w:sz w:val="22"/>
                <w:szCs w:val="22"/>
              </w:rPr>
            </w:pPr>
            <w:r>
              <w:rPr>
                <w:sz w:val="22"/>
                <w:szCs w:val="22"/>
              </w:rPr>
              <w:t>目标层</w:t>
            </w:r>
          </w:p>
        </w:tc>
        <w:tc>
          <w:tcPr>
            <w:tcW w:w="832" w:type="dxa"/>
            <w:shd w:val="clear" w:color="auto" w:fill="E7E6E6"/>
            <w:vAlign w:val="center"/>
          </w:tcPr>
          <w:p>
            <w:pPr>
              <w:jc w:val="center"/>
              <w:rPr>
                <w:sz w:val="22"/>
                <w:szCs w:val="22"/>
              </w:rPr>
            </w:pPr>
            <w:r>
              <w:rPr>
                <w:sz w:val="22"/>
                <w:szCs w:val="22"/>
              </w:rPr>
              <w:t>准则层</w:t>
            </w:r>
          </w:p>
        </w:tc>
        <w:tc>
          <w:tcPr>
            <w:tcW w:w="700" w:type="dxa"/>
            <w:shd w:val="clear" w:color="auto" w:fill="E7E6E6"/>
            <w:vAlign w:val="center"/>
          </w:tcPr>
          <w:p>
            <w:pPr>
              <w:jc w:val="center"/>
              <w:rPr>
                <w:sz w:val="22"/>
                <w:szCs w:val="22"/>
              </w:rPr>
            </w:pPr>
            <w:r>
              <w:rPr>
                <w:sz w:val="22"/>
                <w:szCs w:val="22"/>
              </w:rPr>
              <w:t>权重</w:t>
            </w:r>
          </w:p>
        </w:tc>
        <w:tc>
          <w:tcPr>
            <w:tcW w:w="1131" w:type="dxa"/>
            <w:shd w:val="clear" w:color="auto" w:fill="E7E6E6"/>
            <w:vAlign w:val="center"/>
          </w:tcPr>
          <w:p>
            <w:pPr>
              <w:jc w:val="center"/>
              <w:rPr>
                <w:sz w:val="22"/>
                <w:szCs w:val="22"/>
              </w:rPr>
            </w:pPr>
            <w:r>
              <w:rPr>
                <w:sz w:val="22"/>
                <w:szCs w:val="22"/>
              </w:rPr>
              <w:t>次准则层</w:t>
            </w:r>
          </w:p>
        </w:tc>
        <w:tc>
          <w:tcPr>
            <w:tcW w:w="3846" w:type="dxa"/>
            <w:shd w:val="clear" w:color="auto" w:fill="E7E6E6"/>
            <w:vAlign w:val="center"/>
          </w:tcPr>
          <w:p>
            <w:pPr>
              <w:jc w:val="center"/>
              <w:rPr>
                <w:sz w:val="22"/>
                <w:szCs w:val="22"/>
              </w:rPr>
            </w:pPr>
            <w:r>
              <w:rPr>
                <w:sz w:val="22"/>
                <w:szCs w:val="22"/>
              </w:rPr>
              <w:t>指标层</w:t>
            </w:r>
          </w:p>
        </w:tc>
        <w:tc>
          <w:tcPr>
            <w:tcW w:w="850" w:type="dxa"/>
            <w:shd w:val="clear" w:color="auto" w:fill="E7E6E6"/>
            <w:vAlign w:val="center"/>
          </w:tcPr>
          <w:p>
            <w:pPr>
              <w:jc w:val="center"/>
              <w:rPr>
                <w:sz w:val="22"/>
                <w:szCs w:val="22"/>
              </w:rPr>
            </w:pPr>
            <w:r>
              <w:rPr>
                <w:sz w:val="22"/>
                <w:szCs w:val="22"/>
              </w:rPr>
              <w:t>分值</w:t>
            </w:r>
          </w:p>
        </w:tc>
        <w:tc>
          <w:tcPr>
            <w:tcW w:w="851" w:type="dxa"/>
            <w:shd w:val="clear" w:color="auto" w:fill="E7E6E6"/>
            <w:vAlign w:val="center"/>
          </w:tcPr>
          <w:p>
            <w:pPr>
              <w:jc w:val="center"/>
              <w:rPr>
                <w:sz w:val="22"/>
                <w:szCs w:val="22"/>
              </w:rPr>
            </w:pPr>
            <w:r>
              <w:rPr>
                <w:sz w:val="22"/>
                <w:szCs w:val="22"/>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restart"/>
            <w:shd w:val="clear" w:color="auto" w:fill="auto"/>
            <w:vAlign w:val="center"/>
          </w:tcPr>
          <w:p>
            <w:pPr>
              <w:jc w:val="left"/>
              <w:rPr>
                <w:sz w:val="22"/>
                <w:szCs w:val="22"/>
              </w:rPr>
            </w:pPr>
            <w:r>
              <w:rPr>
                <w:sz w:val="22"/>
                <w:szCs w:val="22"/>
              </w:rPr>
              <w:t>社会效益</w:t>
            </w:r>
          </w:p>
        </w:tc>
        <w:tc>
          <w:tcPr>
            <w:tcW w:w="832" w:type="dxa"/>
            <w:vMerge w:val="restart"/>
            <w:shd w:val="clear" w:color="auto" w:fill="auto"/>
            <w:vAlign w:val="center"/>
          </w:tcPr>
          <w:p>
            <w:pPr>
              <w:jc w:val="left"/>
              <w:rPr>
                <w:sz w:val="22"/>
                <w:szCs w:val="22"/>
              </w:rPr>
            </w:pPr>
            <w:r>
              <w:rPr>
                <w:sz w:val="22"/>
                <w:szCs w:val="22"/>
              </w:rPr>
              <w:t>节能环保</w:t>
            </w:r>
          </w:p>
        </w:tc>
        <w:tc>
          <w:tcPr>
            <w:tcW w:w="700" w:type="dxa"/>
            <w:vMerge w:val="restart"/>
            <w:shd w:val="clear" w:color="auto" w:fill="auto"/>
            <w:vAlign w:val="center"/>
          </w:tcPr>
          <w:p>
            <w:pPr>
              <w:jc w:val="left"/>
              <w:rPr>
                <w:sz w:val="22"/>
                <w:szCs w:val="22"/>
              </w:rPr>
            </w:pPr>
            <w:r>
              <w:rPr>
                <w:sz w:val="22"/>
                <w:szCs w:val="22"/>
              </w:rPr>
              <w:t>50%</w:t>
            </w:r>
          </w:p>
        </w:tc>
        <w:tc>
          <w:tcPr>
            <w:tcW w:w="1131" w:type="dxa"/>
            <w:vMerge w:val="restart"/>
            <w:shd w:val="clear" w:color="auto" w:fill="auto"/>
            <w:vAlign w:val="center"/>
          </w:tcPr>
          <w:p>
            <w:pPr>
              <w:jc w:val="left"/>
              <w:rPr>
                <w:sz w:val="22"/>
                <w:szCs w:val="22"/>
              </w:rPr>
            </w:pPr>
            <w:r>
              <w:rPr>
                <w:sz w:val="22"/>
                <w:szCs w:val="22"/>
              </w:rPr>
              <w:t>资源</w:t>
            </w:r>
          </w:p>
        </w:tc>
        <w:tc>
          <w:tcPr>
            <w:tcW w:w="3846" w:type="dxa"/>
            <w:shd w:val="clear" w:color="auto" w:fill="auto"/>
            <w:vAlign w:val="center"/>
          </w:tcPr>
          <w:p>
            <w:pPr>
              <w:jc w:val="left"/>
              <w:rPr>
                <w:sz w:val="22"/>
                <w:szCs w:val="22"/>
              </w:rPr>
            </w:pPr>
            <w:r>
              <w:rPr>
                <w:rFonts w:hint="eastAsia"/>
                <w:sz w:val="22"/>
                <w:szCs w:val="22"/>
              </w:rPr>
              <w:t>促进了原材料的有效利用</w:t>
            </w:r>
          </w:p>
        </w:tc>
        <w:tc>
          <w:tcPr>
            <w:tcW w:w="850" w:type="dxa"/>
            <w:shd w:val="clear" w:color="auto" w:fill="auto"/>
            <w:vAlign w:val="center"/>
          </w:tcPr>
          <w:p>
            <w:pPr>
              <w:jc w:val="left"/>
              <w:rPr>
                <w:sz w:val="22"/>
                <w:szCs w:val="22"/>
              </w:rPr>
            </w:pPr>
          </w:p>
        </w:tc>
        <w:tc>
          <w:tcPr>
            <w:tcW w:w="851" w:type="dxa"/>
            <w:shd w:val="clear" w:color="auto" w:fill="auto"/>
            <w:vAlign w:val="center"/>
          </w:tcPr>
          <w:p>
            <w:pPr>
              <w:jc w:val="left"/>
              <w:rPr>
                <w:sz w:val="22"/>
                <w:szCs w:val="22"/>
              </w:rPr>
            </w:pPr>
            <w:r>
              <w:rPr>
                <w:sz w:val="22"/>
                <w:szCs w:val="22"/>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shd w:val="clear" w:color="auto" w:fill="auto"/>
            <w:vAlign w:val="center"/>
          </w:tcPr>
          <w:p>
            <w:pPr>
              <w:jc w:val="left"/>
              <w:rPr>
                <w:sz w:val="22"/>
                <w:szCs w:val="22"/>
              </w:rPr>
            </w:pPr>
          </w:p>
        </w:tc>
        <w:tc>
          <w:tcPr>
            <w:tcW w:w="832" w:type="dxa"/>
            <w:vMerge w:val="continue"/>
            <w:shd w:val="clear" w:color="auto" w:fill="auto"/>
            <w:vAlign w:val="center"/>
          </w:tcPr>
          <w:p>
            <w:pPr>
              <w:jc w:val="left"/>
              <w:rPr>
                <w:sz w:val="22"/>
                <w:szCs w:val="22"/>
              </w:rPr>
            </w:pPr>
          </w:p>
        </w:tc>
        <w:tc>
          <w:tcPr>
            <w:tcW w:w="700" w:type="dxa"/>
            <w:vMerge w:val="continue"/>
            <w:shd w:val="clear" w:color="auto" w:fill="auto"/>
            <w:vAlign w:val="center"/>
          </w:tcPr>
          <w:p>
            <w:pPr>
              <w:jc w:val="left"/>
              <w:rPr>
                <w:sz w:val="22"/>
                <w:szCs w:val="22"/>
              </w:rPr>
            </w:pPr>
          </w:p>
        </w:tc>
        <w:tc>
          <w:tcPr>
            <w:tcW w:w="1131" w:type="dxa"/>
            <w:vMerge w:val="continue"/>
            <w:shd w:val="clear" w:color="auto" w:fill="auto"/>
            <w:vAlign w:val="center"/>
          </w:tcPr>
          <w:p>
            <w:pPr>
              <w:jc w:val="left"/>
              <w:rPr>
                <w:sz w:val="22"/>
                <w:szCs w:val="22"/>
              </w:rPr>
            </w:pPr>
          </w:p>
        </w:tc>
        <w:tc>
          <w:tcPr>
            <w:tcW w:w="3846" w:type="dxa"/>
            <w:shd w:val="clear" w:color="auto" w:fill="auto"/>
            <w:vAlign w:val="center"/>
          </w:tcPr>
          <w:p>
            <w:pPr>
              <w:jc w:val="left"/>
              <w:rPr>
                <w:sz w:val="22"/>
                <w:szCs w:val="22"/>
              </w:rPr>
            </w:pPr>
            <w:r>
              <w:rPr>
                <w:sz w:val="22"/>
                <w:szCs w:val="22"/>
              </w:rPr>
              <w:t>促进了水资源的有效利用</w:t>
            </w:r>
          </w:p>
        </w:tc>
        <w:tc>
          <w:tcPr>
            <w:tcW w:w="850" w:type="dxa"/>
            <w:shd w:val="clear" w:color="auto" w:fill="auto"/>
            <w:vAlign w:val="center"/>
          </w:tcPr>
          <w:p>
            <w:pPr>
              <w:jc w:val="left"/>
              <w:rPr>
                <w:sz w:val="22"/>
                <w:szCs w:val="22"/>
              </w:rPr>
            </w:pPr>
          </w:p>
        </w:tc>
        <w:tc>
          <w:tcPr>
            <w:tcW w:w="851" w:type="dxa"/>
            <w:shd w:val="clear" w:color="auto" w:fill="auto"/>
            <w:vAlign w:val="center"/>
          </w:tcPr>
          <w:p>
            <w:pPr>
              <w:jc w:val="left"/>
              <w:rPr>
                <w:sz w:val="22"/>
                <w:szCs w:val="22"/>
              </w:rPr>
            </w:pPr>
            <w:r>
              <w:rPr>
                <w:sz w:val="22"/>
                <w:szCs w:val="22"/>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shd w:val="clear" w:color="auto" w:fill="auto"/>
            <w:vAlign w:val="center"/>
          </w:tcPr>
          <w:p>
            <w:pPr>
              <w:jc w:val="left"/>
              <w:rPr>
                <w:sz w:val="22"/>
                <w:szCs w:val="22"/>
              </w:rPr>
            </w:pPr>
          </w:p>
        </w:tc>
        <w:tc>
          <w:tcPr>
            <w:tcW w:w="832" w:type="dxa"/>
            <w:vMerge w:val="continue"/>
            <w:shd w:val="clear" w:color="auto" w:fill="auto"/>
            <w:vAlign w:val="center"/>
          </w:tcPr>
          <w:p>
            <w:pPr>
              <w:jc w:val="left"/>
              <w:rPr>
                <w:sz w:val="22"/>
                <w:szCs w:val="22"/>
              </w:rPr>
            </w:pPr>
          </w:p>
        </w:tc>
        <w:tc>
          <w:tcPr>
            <w:tcW w:w="700" w:type="dxa"/>
            <w:vMerge w:val="continue"/>
            <w:shd w:val="clear" w:color="auto" w:fill="auto"/>
            <w:vAlign w:val="center"/>
          </w:tcPr>
          <w:p>
            <w:pPr>
              <w:jc w:val="left"/>
              <w:rPr>
                <w:sz w:val="22"/>
                <w:szCs w:val="22"/>
              </w:rPr>
            </w:pPr>
          </w:p>
        </w:tc>
        <w:tc>
          <w:tcPr>
            <w:tcW w:w="1131" w:type="dxa"/>
            <w:shd w:val="clear" w:color="auto" w:fill="auto"/>
            <w:vAlign w:val="center"/>
          </w:tcPr>
          <w:p>
            <w:pPr>
              <w:jc w:val="left"/>
              <w:rPr>
                <w:sz w:val="22"/>
                <w:szCs w:val="22"/>
              </w:rPr>
            </w:pPr>
            <w:r>
              <w:rPr>
                <w:sz w:val="22"/>
                <w:szCs w:val="22"/>
              </w:rPr>
              <w:t>能源</w:t>
            </w:r>
          </w:p>
        </w:tc>
        <w:tc>
          <w:tcPr>
            <w:tcW w:w="3846" w:type="dxa"/>
            <w:shd w:val="clear" w:color="auto" w:fill="auto"/>
            <w:vAlign w:val="center"/>
          </w:tcPr>
          <w:p>
            <w:pPr>
              <w:jc w:val="left"/>
              <w:rPr>
                <w:sz w:val="22"/>
                <w:szCs w:val="22"/>
              </w:rPr>
            </w:pPr>
            <w:r>
              <w:rPr>
                <w:sz w:val="22"/>
                <w:szCs w:val="22"/>
              </w:rPr>
              <w:t>促进</w:t>
            </w:r>
            <w:r>
              <w:rPr>
                <w:rFonts w:hint="eastAsia"/>
                <w:sz w:val="22"/>
                <w:szCs w:val="22"/>
              </w:rPr>
              <w:t>了生产节能的推进</w:t>
            </w:r>
          </w:p>
        </w:tc>
        <w:tc>
          <w:tcPr>
            <w:tcW w:w="850" w:type="dxa"/>
            <w:shd w:val="clear" w:color="auto" w:fill="auto"/>
            <w:vAlign w:val="center"/>
          </w:tcPr>
          <w:p>
            <w:pPr>
              <w:jc w:val="left"/>
              <w:rPr>
                <w:sz w:val="22"/>
                <w:szCs w:val="22"/>
              </w:rPr>
            </w:pPr>
          </w:p>
        </w:tc>
        <w:tc>
          <w:tcPr>
            <w:tcW w:w="851" w:type="dxa"/>
            <w:shd w:val="clear" w:color="auto" w:fill="auto"/>
            <w:vAlign w:val="center"/>
          </w:tcPr>
          <w:p>
            <w:pPr>
              <w:jc w:val="left"/>
              <w:rPr>
                <w:sz w:val="22"/>
                <w:szCs w:val="22"/>
              </w:rPr>
            </w:pPr>
            <w:r>
              <w:rPr>
                <w:sz w:val="22"/>
                <w:szCs w:val="22"/>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shd w:val="clear" w:color="auto" w:fill="auto"/>
            <w:vAlign w:val="center"/>
          </w:tcPr>
          <w:p>
            <w:pPr>
              <w:jc w:val="left"/>
              <w:rPr>
                <w:sz w:val="22"/>
                <w:szCs w:val="22"/>
              </w:rPr>
            </w:pPr>
          </w:p>
        </w:tc>
        <w:tc>
          <w:tcPr>
            <w:tcW w:w="832" w:type="dxa"/>
            <w:vMerge w:val="continue"/>
            <w:shd w:val="clear" w:color="auto" w:fill="auto"/>
            <w:vAlign w:val="center"/>
          </w:tcPr>
          <w:p>
            <w:pPr>
              <w:jc w:val="left"/>
              <w:rPr>
                <w:sz w:val="22"/>
                <w:szCs w:val="22"/>
              </w:rPr>
            </w:pPr>
          </w:p>
        </w:tc>
        <w:tc>
          <w:tcPr>
            <w:tcW w:w="700" w:type="dxa"/>
            <w:vMerge w:val="continue"/>
            <w:shd w:val="clear" w:color="auto" w:fill="auto"/>
            <w:vAlign w:val="center"/>
          </w:tcPr>
          <w:p>
            <w:pPr>
              <w:jc w:val="left"/>
              <w:rPr>
                <w:sz w:val="22"/>
                <w:szCs w:val="22"/>
              </w:rPr>
            </w:pPr>
          </w:p>
        </w:tc>
        <w:tc>
          <w:tcPr>
            <w:tcW w:w="1131" w:type="dxa"/>
            <w:shd w:val="clear" w:color="auto" w:fill="auto"/>
            <w:vAlign w:val="center"/>
          </w:tcPr>
          <w:p>
            <w:pPr>
              <w:jc w:val="left"/>
              <w:rPr>
                <w:sz w:val="22"/>
                <w:szCs w:val="22"/>
              </w:rPr>
            </w:pPr>
            <w:r>
              <w:rPr>
                <w:rFonts w:hint="eastAsia"/>
                <w:sz w:val="22"/>
                <w:szCs w:val="22"/>
              </w:rPr>
              <w:t>环境</w:t>
            </w:r>
          </w:p>
        </w:tc>
        <w:tc>
          <w:tcPr>
            <w:tcW w:w="3846" w:type="dxa"/>
            <w:shd w:val="clear" w:color="auto" w:fill="auto"/>
            <w:vAlign w:val="center"/>
          </w:tcPr>
          <w:p>
            <w:pPr>
              <w:jc w:val="left"/>
              <w:rPr>
                <w:sz w:val="22"/>
                <w:szCs w:val="22"/>
              </w:rPr>
            </w:pPr>
            <w:r>
              <w:rPr>
                <w:sz w:val="22"/>
                <w:szCs w:val="22"/>
              </w:rPr>
              <w:t>有效降低污染物排放水平</w:t>
            </w:r>
          </w:p>
        </w:tc>
        <w:tc>
          <w:tcPr>
            <w:tcW w:w="850" w:type="dxa"/>
            <w:shd w:val="clear" w:color="auto" w:fill="auto"/>
            <w:vAlign w:val="center"/>
          </w:tcPr>
          <w:p>
            <w:pPr>
              <w:jc w:val="left"/>
              <w:rPr>
                <w:sz w:val="22"/>
                <w:szCs w:val="22"/>
              </w:rPr>
            </w:pPr>
          </w:p>
        </w:tc>
        <w:tc>
          <w:tcPr>
            <w:tcW w:w="851" w:type="dxa"/>
            <w:shd w:val="clear" w:color="auto" w:fill="auto"/>
            <w:vAlign w:val="center"/>
          </w:tcPr>
          <w:p>
            <w:pPr>
              <w:jc w:val="left"/>
              <w:rPr>
                <w:sz w:val="22"/>
                <w:szCs w:val="22"/>
              </w:rPr>
            </w:pPr>
            <w:r>
              <w:rPr>
                <w:sz w:val="22"/>
                <w:szCs w:val="22"/>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shd w:val="clear" w:color="auto" w:fill="auto"/>
            <w:vAlign w:val="center"/>
          </w:tcPr>
          <w:p>
            <w:pPr>
              <w:jc w:val="left"/>
              <w:rPr>
                <w:sz w:val="22"/>
                <w:szCs w:val="22"/>
              </w:rPr>
            </w:pPr>
          </w:p>
        </w:tc>
        <w:tc>
          <w:tcPr>
            <w:tcW w:w="832" w:type="dxa"/>
            <w:vMerge w:val="restart"/>
            <w:shd w:val="clear" w:color="auto" w:fill="auto"/>
            <w:vAlign w:val="center"/>
          </w:tcPr>
          <w:p>
            <w:pPr>
              <w:jc w:val="left"/>
              <w:rPr>
                <w:sz w:val="22"/>
                <w:szCs w:val="22"/>
              </w:rPr>
            </w:pPr>
            <w:r>
              <w:rPr>
                <w:sz w:val="22"/>
                <w:szCs w:val="22"/>
              </w:rPr>
              <w:t>社会发展</w:t>
            </w:r>
          </w:p>
        </w:tc>
        <w:tc>
          <w:tcPr>
            <w:tcW w:w="700" w:type="dxa"/>
            <w:vMerge w:val="restart"/>
            <w:shd w:val="clear" w:color="auto" w:fill="auto"/>
            <w:vAlign w:val="center"/>
          </w:tcPr>
          <w:p>
            <w:pPr>
              <w:jc w:val="left"/>
              <w:rPr>
                <w:sz w:val="22"/>
                <w:szCs w:val="22"/>
              </w:rPr>
            </w:pPr>
            <w:r>
              <w:rPr>
                <w:sz w:val="22"/>
                <w:szCs w:val="22"/>
              </w:rPr>
              <w:t>50%</w:t>
            </w:r>
          </w:p>
        </w:tc>
        <w:tc>
          <w:tcPr>
            <w:tcW w:w="1131" w:type="dxa"/>
            <w:vMerge w:val="restart"/>
            <w:shd w:val="clear" w:color="auto" w:fill="auto"/>
            <w:vAlign w:val="center"/>
          </w:tcPr>
          <w:p>
            <w:pPr>
              <w:jc w:val="left"/>
              <w:rPr>
                <w:sz w:val="22"/>
                <w:szCs w:val="22"/>
              </w:rPr>
            </w:pPr>
            <w:r>
              <w:rPr>
                <w:sz w:val="22"/>
                <w:szCs w:val="22"/>
              </w:rPr>
              <w:t>科学技术</w:t>
            </w:r>
          </w:p>
        </w:tc>
        <w:tc>
          <w:tcPr>
            <w:tcW w:w="3846" w:type="dxa"/>
            <w:shd w:val="clear" w:color="auto" w:fill="auto"/>
            <w:vAlign w:val="center"/>
          </w:tcPr>
          <w:p>
            <w:pPr>
              <w:jc w:val="left"/>
              <w:rPr>
                <w:sz w:val="22"/>
                <w:szCs w:val="22"/>
              </w:rPr>
            </w:pPr>
            <w:r>
              <w:rPr>
                <w:sz w:val="22"/>
                <w:szCs w:val="22"/>
              </w:rPr>
              <w:t>推动相关标准的实施</w:t>
            </w:r>
          </w:p>
        </w:tc>
        <w:tc>
          <w:tcPr>
            <w:tcW w:w="850" w:type="dxa"/>
            <w:shd w:val="clear" w:color="auto" w:fill="auto"/>
            <w:vAlign w:val="center"/>
          </w:tcPr>
          <w:p>
            <w:pPr>
              <w:jc w:val="left"/>
              <w:rPr>
                <w:sz w:val="22"/>
                <w:szCs w:val="22"/>
              </w:rPr>
            </w:pPr>
          </w:p>
        </w:tc>
        <w:tc>
          <w:tcPr>
            <w:tcW w:w="851" w:type="dxa"/>
            <w:shd w:val="clear" w:color="auto" w:fill="auto"/>
            <w:vAlign w:val="center"/>
          </w:tcPr>
          <w:p>
            <w:pPr>
              <w:jc w:val="left"/>
              <w:rPr>
                <w:sz w:val="22"/>
                <w:szCs w:val="22"/>
              </w:rPr>
            </w:pPr>
            <w:r>
              <w:rPr>
                <w:sz w:val="22"/>
                <w:szCs w:val="22"/>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shd w:val="clear" w:color="auto" w:fill="auto"/>
            <w:vAlign w:val="center"/>
          </w:tcPr>
          <w:p>
            <w:pPr>
              <w:jc w:val="left"/>
              <w:rPr>
                <w:sz w:val="22"/>
                <w:szCs w:val="22"/>
              </w:rPr>
            </w:pPr>
          </w:p>
        </w:tc>
        <w:tc>
          <w:tcPr>
            <w:tcW w:w="832" w:type="dxa"/>
            <w:vMerge w:val="continue"/>
            <w:shd w:val="clear" w:color="auto" w:fill="auto"/>
            <w:vAlign w:val="center"/>
          </w:tcPr>
          <w:p>
            <w:pPr>
              <w:jc w:val="left"/>
              <w:rPr>
                <w:sz w:val="22"/>
                <w:szCs w:val="22"/>
              </w:rPr>
            </w:pPr>
          </w:p>
        </w:tc>
        <w:tc>
          <w:tcPr>
            <w:tcW w:w="700" w:type="dxa"/>
            <w:vMerge w:val="continue"/>
            <w:shd w:val="clear" w:color="auto" w:fill="auto"/>
            <w:vAlign w:val="center"/>
          </w:tcPr>
          <w:p>
            <w:pPr>
              <w:jc w:val="left"/>
              <w:rPr>
                <w:sz w:val="22"/>
                <w:szCs w:val="22"/>
              </w:rPr>
            </w:pPr>
          </w:p>
        </w:tc>
        <w:tc>
          <w:tcPr>
            <w:tcW w:w="1131" w:type="dxa"/>
            <w:vMerge w:val="continue"/>
            <w:shd w:val="clear" w:color="auto" w:fill="auto"/>
            <w:vAlign w:val="center"/>
          </w:tcPr>
          <w:p>
            <w:pPr>
              <w:jc w:val="left"/>
              <w:rPr>
                <w:sz w:val="22"/>
                <w:szCs w:val="22"/>
              </w:rPr>
            </w:pPr>
          </w:p>
        </w:tc>
        <w:tc>
          <w:tcPr>
            <w:tcW w:w="3846" w:type="dxa"/>
            <w:shd w:val="clear" w:color="auto" w:fill="auto"/>
            <w:vAlign w:val="center"/>
          </w:tcPr>
          <w:p>
            <w:pPr>
              <w:jc w:val="left"/>
              <w:rPr>
                <w:sz w:val="22"/>
                <w:szCs w:val="22"/>
              </w:rPr>
            </w:pPr>
            <w:r>
              <w:rPr>
                <w:sz w:val="22"/>
                <w:szCs w:val="22"/>
              </w:rPr>
              <w:t>促进了行业相关技术的发展</w:t>
            </w:r>
          </w:p>
        </w:tc>
        <w:tc>
          <w:tcPr>
            <w:tcW w:w="850" w:type="dxa"/>
            <w:shd w:val="clear" w:color="auto" w:fill="auto"/>
            <w:vAlign w:val="center"/>
          </w:tcPr>
          <w:p>
            <w:pPr>
              <w:jc w:val="left"/>
              <w:rPr>
                <w:sz w:val="22"/>
                <w:szCs w:val="22"/>
              </w:rPr>
            </w:pPr>
          </w:p>
        </w:tc>
        <w:tc>
          <w:tcPr>
            <w:tcW w:w="851" w:type="dxa"/>
            <w:shd w:val="clear" w:color="auto" w:fill="auto"/>
            <w:vAlign w:val="center"/>
          </w:tcPr>
          <w:p>
            <w:pPr>
              <w:jc w:val="left"/>
              <w:rPr>
                <w:sz w:val="22"/>
                <w:szCs w:val="22"/>
              </w:rPr>
            </w:pPr>
            <w:r>
              <w:rPr>
                <w:rFonts w:hint="eastAsia"/>
                <w:sz w:val="22"/>
                <w:szCs w:val="22"/>
              </w:rPr>
              <w:t>2</w:t>
            </w:r>
            <w:r>
              <w:rPr>
                <w:sz w:val="22"/>
                <w:szCs w:val="22"/>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687" w:type="dxa"/>
            <w:vMerge w:val="continue"/>
            <w:shd w:val="clear" w:color="auto" w:fill="auto"/>
            <w:vAlign w:val="center"/>
          </w:tcPr>
          <w:p>
            <w:pPr>
              <w:jc w:val="left"/>
              <w:rPr>
                <w:sz w:val="22"/>
                <w:szCs w:val="22"/>
              </w:rPr>
            </w:pPr>
          </w:p>
        </w:tc>
        <w:tc>
          <w:tcPr>
            <w:tcW w:w="832" w:type="dxa"/>
            <w:vMerge w:val="continue"/>
            <w:shd w:val="clear" w:color="auto" w:fill="auto"/>
            <w:vAlign w:val="center"/>
          </w:tcPr>
          <w:p>
            <w:pPr>
              <w:jc w:val="left"/>
              <w:rPr>
                <w:sz w:val="22"/>
                <w:szCs w:val="22"/>
              </w:rPr>
            </w:pPr>
          </w:p>
        </w:tc>
        <w:tc>
          <w:tcPr>
            <w:tcW w:w="700" w:type="dxa"/>
            <w:vMerge w:val="continue"/>
            <w:shd w:val="clear" w:color="auto" w:fill="auto"/>
            <w:vAlign w:val="center"/>
          </w:tcPr>
          <w:p>
            <w:pPr>
              <w:jc w:val="left"/>
              <w:rPr>
                <w:sz w:val="22"/>
                <w:szCs w:val="22"/>
              </w:rPr>
            </w:pPr>
          </w:p>
        </w:tc>
        <w:tc>
          <w:tcPr>
            <w:tcW w:w="1131" w:type="dxa"/>
            <w:vMerge w:val="restart"/>
            <w:shd w:val="clear" w:color="auto" w:fill="auto"/>
            <w:vAlign w:val="center"/>
          </w:tcPr>
          <w:p>
            <w:pPr>
              <w:jc w:val="left"/>
              <w:rPr>
                <w:sz w:val="22"/>
                <w:szCs w:val="22"/>
              </w:rPr>
            </w:pPr>
            <w:r>
              <w:rPr>
                <w:sz w:val="22"/>
                <w:szCs w:val="22"/>
              </w:rPr>
              <w:t>教育管理</w:t>
            </w:r>
          </w:p>
        </w:tc>
        <w:tc>
          <w:tcPr>
            <w:tcW w:w="3846" w:type="dxa"/>
            <w:shd w:val="clear" w:color="auto" w:fill="auto"/>
            <w:vAlign w:val="center"/>
          </w:tcPr>
          <w:p>
            <w:pPr>
              <w:jc w:val="left"/>
              <w:rPr>
                <w:sz w:val="22"/>
                <w:szCs w:val="22"/>
              </w:rPr>
            </w:pPr>
            <w:r>
              <w:rPr>
                <w:sz w:val="22"/>
                <w:szCs w:val="22"/>
              </w:rPr>
              <w:t>提升人员节能环保意识</w:t>
            </w:r>
          </w:p>
        </w:tc>
        <w:tc>
          <w:tcPr>
            <w:tcW w:w="850" w:type="dxa"/>
            <w:shd w:val="clear" w:color="auto" w:fill="auto"/>
            <w:vAlign w:val="center"/>
          </w:tcPr>
          <w:p>
            <w:pPr>
              <w:jc w:val="left"/>
              <w:rPr>
                <w:sz w:val="22"/>
                <w:szCs w:val="22"/>
              </w:rPr>
            </w:pPr>
          </w:p>
        </w:tc>
        <w:tc>
          <w:tcPr>
            <w:tcW w:w="851" w:type="dxa"/>
            <w:shd w:val="clear" w:color="auto" w:fill="auto"/>
            <w:vAlign w:val="center"/>
          </w:tcPr>
          <w:p>
            <w:pPr>
              <w:jc w:val="left"/>
              <w:rPr>
                <w:sz w:val="22"/>
                <w:szCs w:val="22"/>
              </w:rPr>
            </w:pPr>
            <w:r>
              <w:rPr>
                <w:rFonts w:hint="eastAsia"/>
                <w:sz w:val="22"/>
                <w:szCs w:val="22"/>
              </w:rPr>
              <w:t>1</w:t>
            </w:r>
            <w:r>
              <w:rPr>
                <w:sz w:val="22"/>
                <w:szCs w:val="2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shd w:val="clear" w:color="auto" w:fill="auto"/>
            <w:vAlign w:val="center"/>
          </w:tcPr>
          <w:p>
            <w:pPr>
              <w:jc w:val="left"/>
              <w:rPr>
                <w:sz w:val="22"/>
                <w:szCs w:val="22"/>
              </w:rPr>
            </w:pPr>
          </w:p>
        </w:tc>
        <w:tc>
          <w:tcPr>
            <w:tcW w:w="832" w:type="dxa"/>
            <w:vMerge w:val="continue"/>
            <w:shd w:val="clear" w:color="auto" w:fill="auto"/>
            <w:vAlign w:val="center"/>
          </w:tcPr>
          <w:p>
            <w:pPr>
              <w:jc w:val="left"/>
              <w:rPr>
                <w:sz w:val="22"/>
                <w:szCs w:val="22"/>
              </w:rPr>
            </w:pPr>
          </w:p>
        </w:tc>
        <w:tc>
          <w:tcPr>
            <w:tcW w:w="700" w:type="dxa"/>
            <w:vMerge w:val="continue"/>
            <w:shd w:val="clear" w:color="auto" w:fill="auto"/>
            <w:vAlign w:val="center"/>
          </w:tcPr>
          <w:p>
            <w:pPr>
              <w:jc w:val="left"/>
              <w:rPr>
                <w:sz w:val="22"/>
                <w:szCs w:val="22"/>
              </w:rPr>
            </w:pPr>
          </w:p>
        </w:tc>
        <w:tc>
          <w:tcPr>
            <w:tcW w:w="1131" w:type="dxa"/>
            <w:vMerge w:val="continue"/>
            <w:shd w:val="clear" w:color="auto" w:fill="auto"/>
            <w:vAlign w:val="center"/>
          </w:tcPr>
          <w:p>
            <w:pPr>
              <w:jc w:val="left"/>
              <w:rPr>
                <w:sz w:val="22"/>
                <w:szCs w:val="22"/>
              </w:rPr>
            </w:pPr>
          </w:p>
        </w:tc>
        <w:tc>
          <w:tcPr>
            <w:tcW w:w="3846" w:type="dxa"/>
            <w:shd w:val="clear" w:color="auto" w:fill="auto"/>
            <w:vAlign w:val="center"/>
          </w:tcPr>
          <w:p>
            <w:pPr>
              <w:jc w:val="left"/>
              <w:rPr>
                <w:sz w:val="22"/>
                <w:szCs w:val="22"/>
              </w:rPr>
            </w:pPr>
            <w:r>
              <w:rPr>
                <w:sz w:val="22"/>
                <w:szCs w:val="22"/>
              </w:rPr>
              <w:t>提升企业管理水平</w:t>
            </w:r>
          </w:p>
        </w:tc>
        <w:tc>
          <w:tcPr>
            <w:tcW w:w="850" w:type="dxa"/>
            <w:shd w:val="clear" w:color="auto" w:fill="auto"/>
            <w:vAlign w:val="center"/>
          </w:tcPr>
          <w:p>
            <w:pPr>
              <w:jc w:val="left"/>
              <w:rPr>
                <w:sz w:val="22"/>
                <w:szCs w:val="22"/>
              </w:rPr>
            </w:pPr>
          </w:p>
        </w:tc>
        <w:tc>
          <w:tcPr>
            <w:tcW w:w="851" w:type="dxa"/>
            <w:shd w:val="clear" w:color="auto" w:fill="auto"/>
            <w:vAlign w:val="center"/>
          </w:tcPr>
          <w:p>
            <w:pPr>
              <w:jc w:val="left"/>
              <w:rPr>
                <w:sz w:val="22"/>
                <w:szCs w:val="22"/>
              </w:rPr>
            </w:pPr>
            <w:r>
              <w:rPr>
                <w:rFonts w:hint="eastAsia"/>
                <w:sz w:val="22"/>
                <w:szCs w:val="22"/>
              </w:rPr>
              <w:t>1</w:t>
            </w:r>
            <w:r>
              <w:rPr>
                <w:sz w:val="22"/>
                <w:szCs w:val="2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shd w:val="clear" w:color="auto" w:fill="auto"/>
            <w:vAlign w:val="center"/>
          </w:tcPr>
          <w:p>
            <w:pPr>
              <w:jc w:val="left"/>
              <w:rPr>
                <w:sz w:val="22"/>
                <w:szCs w:val="22"/>
              </w:rPr>
            </w:pPr>
          </w:p>
        </w:tc>
        <w:tc>
          <w:tcPr>
            <w:tcW w:w="832" w:type="dxa"/>
            <w:vMerge w:val="continue"/>
            <w:shd w:val="clear" w:color="auto" w:fill="auto"/>
            <w:vAlign w:val="center"/>
          </w:tcPr>
          <w:p>
            <w:pPr>
              <w:jc w:val="left"/>
              <w:rPr>
                <w:sz w:val="22"/>
                <w:szCs w:val="22"/>
              </w:rPr>
            </w:pPr>
          </w:p>
        </w:tc>
        <w:tc>
          <w:tcPr>
            <w:tcW w:w="700" w:type="dxa"/>
            <w:vMerge w:val="continue"/>
            <w:shd w:val="clear" w:color="auto" w:fill="auto"/>
            <w:vAlign w:val="center"/>
          </w:tcPr>
          <w:p>
            <w:pPr>
              <w:jc w:val="left"/>
              <w:rPr>
                <w:sz w:val="22"/>
                <w:szCs w:val="22"/>
              </w:rPr>
            </w:pPr>
          </w:p>
        </w:tc>
        <w:tc>
          <w:tcPr>
            <w:tcW w:w="1131" w:type="dxa"/>
            <w:vMerge w:val="restart"/>
            <w:shd w:val="clear" w:color="auto" w:fill="auto"/>
            <w:vAlign w:val="center"/>
          </w:tcPr>
          <w:p>
            <w:pPr>
              <w:jc w:val="left"/>
              <w:rPr>
                <w:sz w:val="22"/>
                <w:szCs w:val="22"/>
              </w:rPr>
            </w:pPr>
            <w:r>
              <w:rPr>
                <w:sz w:val="22"/>
                <w:szCs w:val="22"/>
              </w:rPr>
              <w:t>服务水平</w:t>
            </w:r>
          </w:p>
        </w:tc>
        <w:tc>
          <w:tcPr>
            <w:tcW w:w="3846" w:type="dxa"/>
            <w:shd w:val="clear" w:color="auto" w:fill="auto"/>
            <w:vAlign w:val="center"/>
          </w:tcPr>
          <w:p>
            <w:pPr>
              <w:jc w:val="left"/>
              <w:rPr>
                <w:sz w:val="22"/>
                <w:szCs w:val="22"/>
              </w:rPr>
            </w:pPr>
            <w:r>
              <w:rPr>
                <w:sz w:val="22"/>
                <w:szCs w:val="22"/>
              </w:rPr>
              <w:t>有效降低评价服务成本</w:t>
            </w:r>
          </w:p>
        </w:tc>
        <w:tc>
          <w:tcPr>
            <w:tcW w:w="850" w:type="dxa"/>
            <w:shd w:val="clear" w:color="auto" w:fill="auto"/>
            <w:vAlign w:val="center"/>
          </w:tcPr>
          <w:p>
            <w:pPr>
              <w:jc w:val="left"/>
              <w:rPr>
                <w:sz w:val="22"/>
                <w:szCs w:val="22"/>
              </w:rPr>
            </w:pPr>
          </w:p>
        </w:tc>
        <w:tc>
          <w:tcPr>
            <w:tcW w:w="851" w:type="dxa"/>
            <w:shd w:val="clear" w:color="auto" w:fill="auto"/>
            <w:vAlign w:val="center"/>
          </w:tcPr>
          <w:p>
            <w:pPr>
              <w:jc w:val="left"/>
              <w:rPr>
                <w:sz w:val="22"/>
                <w:szCs w:val="22"/>
              </w:rPr>
            </w:pPr>
            <w:r>
              <w:rPr>
                <w:rFonts w:hint="eastAsia"/>
                <w:sz w:val="22"/>
                <w:szCs w:val="22"/>
              </w:rPr>
              <w:t>1</w:t>
            </w:r>
            <w:r>
              <w:rPr>
                <w:sz w:val="22"/>
                <w:szCs w:val="2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vMerge w:val="continue"/>
            <w:shd w:val="clear" w:color="auto" w:fill="auto"/>
            <w:vAlign w:val="center"/>
          </w:tcPr>
          <w:p>
            <w:pPr>
              <w:jc w:val="left"/>
              <w:rPr>
                <w:sz w:val="22"/>
                <w:szCs w:val="22"/>
              </w:rPr>
            </w:pPr>
          </w:p>
        </w:tc>
        <w:tc>
          <w:tcPr>
            <w:tcW w:w="832" w:type="dxa"/>
            <w:vMerge w:val="continue"/>
            <w:shd w:val="clear" w:color="auto" w:fill="auto"/>
            <w:vAlign w:val="center"/>
          </w:tcPr>
          <w:p>
            <w:pPr>
              <w:jc w:val="left"/>
              <w:rPr>
                <w:sz w:val="22"/>
                <w:szCs w:val="22"/>
              </w:rPr>
            </w:pPr>
          </w:p>
        </w:tc>
        <w:tc>
          <w:tcPr>
            <w:tcW w:w="700" w:type="dxa"/>
            <w:vMerge w:val="continue"/>
            <w:shd w:val="clear" w:color="auto" w:fill="auto"/>
            <w:vAlign w:val="center"/>
          </w:tcPr>
          <w:p>
            <w:pPr>
              <w:jc w:val="left"/>
              <w:rPr>
                <w:sz w:val="22"/>
                <w:szCs w:val="22"/>
              </w:rPr>
            </w:pPr>
          </w:p>
        </w:tc>
        <w:tc>
          <w:tcPr>
            <w:tcW w:w="1131" w:type="dxa"/>
            <w:vMerge w:val="continue"/>
            <w:shd w:val="clear" w:color="auto" w:fill="auto"/>
            <w:vAlign w:val="center"/>
          </w:tcPr>
          <w:p>
            <w:pPr>
              <w:jc w:val="left"/>
              <w:rPr>
                <w:sz w:val="22"/>
                <w:szCs w:val="22"/>
              </w:rPr>
            </w:pPr>
          </w:p>
        </w:tc>
        <w:tc>
          <w:tcPr>
            <w:tcW w:w="3846" w:type="dxa"/>
            <w:shd w:val="clear" w:color="auto" w:fill="auto"/>
            <w:vAlign w:val="center"/>
          </w:tcPr>
          <w:p>
            <w:pPr>
              <w:jc w:val="left"/>
              <w:rPr>
                <w:sz w:val="22"/>
                <w:szCs w:val="22"/>
              </w:rPr>
            </w:pPr>
            <w:r>
              <w:rPr>
                <w:sz w:val="22"/>
                <w:szCs w:val="22"/>
              </w:rPr>
              <w:t>提升评价开展效率</w:t>
            </w:r>
          </w:p>
        </w:tc>
        <w:tc>
          <w:tcPr>
            <w:tcW w:w="850" w:type="dxa"/>
            <w:shd w:val="clear" w:color="auto" w:fill="auto"/>
            <w:vAlign w:val="center"/>
          </w:tcPr>
          <w:p>
            <w:pPr>
              <w:jc w:val="left"/>
              <w:rPr>
                <w:sz w:val="22"/>
                <w:szCs w:val="22"/>
              </w:rPr>
            </w:pPr>
          </w:p>
        </w:tc>
        <w:tc>
          <w:tcPr>
            <w:tcW w:w="851" w:type="dxa"/>
            <w:shd w:val="clear" w:color="auto" w:fill="auto"/>
            <w:vAlign w:val="center"/>
          </w:tcPr>
          <w:p>
            <w:pPr>
              <w:jc w:val="left"/>
              <w:rPr>
                <w:sz w:val="22"/>
                <w:szCs w:val="22"/>
              </w:rPr>
            </w:pPr>
            <w:r>
              <w:rPr>
                <w:rFonts w:hint="eastAsia"/>
                <w:sz w:val="22"/>
                <w:szCs w:val="22"/>
              </w:rPr>
              <w:t>1</w:t>
            </w:r>
            <w:r>
              <w:rPr>
                <w:sz w:val="22"/>
                <w:szCs w:val="22"/>
              </w:rPr>
              <w:t>5%</w:t>
            </w:r>
          </w:p>
        </w:tc>
      </w:tr>
    </w:tbl>
    <w:p>
      <w:pPr>
        <w:spacing w:line="500" w:lineRule="exact"/>
        <w:jc w:val="center"/>
        <w:rPr>
          <w:kern w:val="0"/>
          <w:sz w:val="24"/>
        </w:rPr>
      </w:pPr>
      <w:r>
        <w:rPr>
          <w:rFonts w:hint="eastAsia"/>
          <w:kern w:val="0"/>
          <w:sz w:val="24"/>
        </w:rPr>
        <w:t>表5</w:t>
      </w:r>
      <w:r>
        <w:rPr>
          <w:kern w:val="0"/>
          <w:sz w:val="24"/>
        </w:rPr>
        <w:t>-2 标准化社会效益效果判断的依据</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416"/>
        <w:gridCol w:w="1417"/>
        <w:gridCol w:w="1416"/>
        <w:gridCol w:w="1275"/>
        <w:gridCol w:w="1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5" w:type="dxa"/>
            <w:shd w:val="clear" w:color="auto" w:fill="E7E6E6"/>
            <w:vAlign w:val="center"/>
          </w:tcPr>
          <w:p>
            <w:pPr>
              <w:jc w:val="center"/>
              <w:rPr>
                <w:sz w:val="22"/>
                <w:szCs w:val="22"/>
              </w:rPr>
            </w:pPr>
            <w:r>
              <w:rPr>
                <w:sz w:val="22"/>
                <w:szCs w:val="22"/>
              </w:rPr>
              <w:t>标准化社会效益评价值（y）</w:t>
            </w:r>
          </w:p>
        </w:tc>
        <w:tc>
          <w:tcPr>
            <w:tcW w:w="1416" w:type="dxa"/>
            <w:shd w:val="clear" w:color="auto" w:fill="E7E6E6"/>
            <w:vAlign w:val="center"/>
          </w:tcPr>
          <w:p>
            <w:pPr>
              <w:jc w:val="center"/>
              <w:rPr>
                <w:sz w:val="22"/>
                <w:szCs w:val="22"/>
              </w:rPr>
            </w:pPr>
            <w:r>
              <w:rPr>
                <w:sz w:val="22"/>
                <w:szCs w:val="22"/>
              </w:rPr>
              <w:t>0≤y＜2</w:t>
            </w:r>
          </w:p>
        </w:tc>
        <w:tc>
          <w:tcPr>
            <w:tcW w:w="1417" w:type="dxa"/>
            <w:shd w:val="clear" w:color="auto" w:fill="E7E6E6"/>
            <w:vAlign w:val="center"/>
          </w:tcPr>
          <w:p>
            <w:pPr>
              <w:jc w:val="center"/>
              <w:rPr>
                <w:sz w:val="22"/>
                <w:szCs w:val="22"/>
              </w:rPr>
            </w:pPr>
            <w:r>
              <w:rPr>
                <w:sz w:val="22"/>
                <w:szCs w:val="22"/>
              </w:rPr>
              <w:t>2≤y＜4</w:t>
            </w:r>
          </w:p>
        </w:tc>
        <w:tc>
          <w:tcPr>
            <w:tcW w:w="1416" w:type="dxa"/>
            <w:shd w:val="clear" w:color="auto" w:fill="E7E6E6"/>
            <w:vAlign w:val="center"/>
          </w:tcPr>
          <w:p>
            <w:pPr>
              <w:jc w:val="center"/>
              <w:rPr>
                <w:sz w:val="22"/>
                <w:szCs w:val="22"/>
              </w:rPr>
            </w:pPr>
            <w:r>
              <w:rPr>
                <w:sz w:val="22"/>
                <w:szCs w:val="22"/>
              </w:rPr>
              <w:t>4≤y＜6</w:t>
            </w:r>
          </w:p>
        </w:tc>
        <w:tc>
          <w:tcPr>
            <w:tcW w:w="1275" w:type="dxa"/>
            <w:shd w:val="clear" w:color="auto" w:fill="E7E6E6"/>
            <w:vAlign w:val="center"/>
          </w:tcPr>
          <w:p>
            <w:pPr>
              <w:jc w:val="center"/>
              <w:rPr>
                <w:sz w:val="22"/>
                <w:szCs w:val="22"/>
              </w:rPr>
            </w:pPr>
            <w:r>
              <w:rPr>
                <w:sz w:val="22"/>
                <w:szCs w:val="22"/>
              </w:rPr>
              <w:t>6≤y＜8</w:t>
            </w:r>
          </w:p>
        </w:tc>
        <w:tc>
          <w:tcPr>
            <w:tcW w:w="1325" w:type="dxa"/>
            <w:shd w:val="clear" w:color="auto" w:fill="E7E6E6"/>
            <w:vAlign w:val="center"/>
          </w:tcPr>
          <w:p>
            <w:pPr>
              <w:jc w:val="center"/>
              <w:rPr>
                <w:sz w:val="22"/>
                <w:szCs w:val="22"/>
              </w:rPr>
            </w:pPr>
            <w:r>
              <w:rPr>
                <w:sz w:val="22"/>
                <w:szCs w:val="22"/>
              </w:rPr>
              <w:t>8≤y＜10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shd w:val="clear" w:color="auto" w:fill="auto"/>
            <w:vAlign w:val="center"/>
          </w:tcPr>
          <w:p>
            <w:pPr>
              <w:jc w:val="center"/>
              <w:rPr>
                <w:sz w:val="22"/>
                <w:szCs w:val="22"/>
              </w:rPr>
            </w:pPr>
            <w:r>
              <w:rPr>
                <w:sz w:val="22"/>
                <w:szCs w:val="22"/>
              </w:rPr>
              <w:t>标准化社会效益效果判断</w:t>
            </w:r>
          </w:p>
        </w:tc>
        <w:tc>
          <w:tcPr>
            <w:tcW w:w="1416" w:type="dxa"/>
            <w:shd w:val="clear" w:color="auto" w:fill="auto"/>
            <w:vAlign w:val="center"/>
          </w:tcPr>
          <w:p>
            <w:pPr>
              <w:jc w:val="center"/>
              <w:rPr>
                <w:sz w:val="22"/>
                <w:szCs w:val="22"/>
              </w:rPr>
            </w:pPr>
            <w:r>
              <w:rPr>
                <w:sz w:val="22"/>
                <w:szCs w:val="22"/>
              </w:rPr>
              <w:t>非常不显著</w:t>
            </w:r>
          </w:p>
        </w:tc>
        <w:tc>
          <w:tcPr>
            <w:tcW w:w="1417" w:type="dxa"/>
            <w:shd w:val="clear" w:color="auto" w:fill="auto"/>
            <w:vAlign w:val="center"/>
          </w:tcPr>
          <w:p>
            <w:pPr>
              <w:jc w:val="center"/>
              <w:rPr>
                <w:sz w:val="22"/>
                <w:szCs w:val="22"/>
              </w:rPr>
            </w:pPr>
            <w:r>
              <w:rPr>
                <w:sz w:val="22"/>
                <w:szCs w:val="22"/>
              </w:rPr>
              <w:t>不显著</w:t>
            </w:r>
          </w:p>
        </w:tc>
        <w:tc>
          <w:tcPr>
            <w:tcW w:w="1416" w:type="dxa"/>
            <w:shd w:val="clear" w:color="auto" w:fill="auto"/>
            <w:vAlign w:val="center"/>
          </w:tcPr>
          <w:p>
            <w:pPr>
              <w:jc w:val="center"/>
              <w:rPr>
                <w:sz w:val="22"/>
                <w:szCs w:val="22"/>
              </w:rPr>
            </w:pPr>
            <w:r>
              <w:rPr>
                <w:sz w:val="22"/>
                <w:szCs w:val="22"/>
              </w:rPr>
              <w:t>一般</w:t>
            </w:r>
          </w:p>
        </w:tc>
        <w:tc>
          <w:tcPr>
            <w:tcW w:w="1275" w:type="dxa"/>
            <w:shd w:val="clear" w:color="auto" w:fill="auto"/>
            <w:vAlign w:val="center"/>
          </w:tcPr>
          <w:p>
            <w:pPr>
              <w:jc w:val="center"/>
              <w:rPr>
                <w:sz w:val="22"/>
                <w:szCs w:val="22"/>
              </w:rPr>
            </w:pPr>
            <w:r>
              <w:rPr>
                <w:sz w:val="22"/>
                <w:szCs w:val="22"/>
              </w:rPr>
              <w:t>较显著</w:t>
            </w:r>
          </w:p>
        </w:tc>
        <w:tc>
          <w:tcPr>
            <w:tcW w:w="1325" w:type="dxa"/>
            <w:shd w:val="clear" w:color="auto" w:fill="auto"/>
            <w:vAlign w:val="center"/>
          </w:tcPr>
          <w:p>
            <w:pPr>
              <w:jc w:val="center"/>
              <w:rPr>
                <w:sz w:val="22"/>
                <w:szCs w:val="22"/>
              </w:rPr>
            </w:pPr>
            <w:r>
              <w:rPr>
                <w:sz w:val="22"/>
                <w:szCs w:val="22"/>
              </w:rPr>
              <w:t>显著</w:t>
            </w:r>
          </w:p>
        </w:tc>
      </w:tr>
    </w:tbl>
    <w:p>
      <w:pPr>
        <w:spacing w:line="500" w:lineRule="exact"/>
        <w:ind w:firstLine="480" w:firstLineChars="200"/>
        <w:jc w:val="left"/>
        <w:rPr>
          <w:kern w:val="0"/>
          <w:sz w:val="24"/>
        </w:rPr>
      </w:pPr>
      <w:r>
        <w:rPr>
          <w:rFonts w:hint="eastAsia"/>
          <w:kern w:val="0"/>
          <w:sz w:val="24"/>
        </w:rPr>
        <w:t>根据回收统计10名专家的社会效益评价表，专家对系列标准的评分均高于6分，也即社会效益为较显著至显著之间。</w:t>
      </w:r>
    </w:p>
    <w:p>
      <w:pPr>
        <w:spacing w:line="500" w:lineRule="exact"/>
        <w:ind w:firstLine="480" w:firstLineChars="200"/>
        <w:jc w:val="left"/>
        <w:rPr>
          <w:kern w:val="0"/>
          <w:sz w:val="24"/>
        </w:rPr>
      </w:pPr>
      <w:r>
        <w:rPr>
          <w:rFonts w:hint="eastAsia"/>
          <w:kern w:val="0"/>
          <w:sz w:val="24"/>
        </w:rPr>
        <w:t>（2）经济效益</w:t>
      </w:r>
    </w:p>
    <w:p>
      <w:pPr>
        <w:spacing w:line="500" w:lineRule="exact"/>
        <w:ind w:firstLine="480" w:firstLineChars="200"/>
        <w:jc w:val="left"/>
        <w:rPr>
          <w:kern w:val="0"/>
          <w:sz w:val="24"/>
        </w:rPr>
      </w:pPr>
      <w:r>
        <w:rPr>
          <w:rFonts w:hint="eastAsia"/>
          <w:kern w:val="0"/>
          <w:sz w:val="24"/>
        </w:rPr>
        <w:t>绿色产品评价标准突出产品生产的节能性和生产过程中的节材、使用中的高性能：</w:t>
      </w:r>
    </w:p>
    <w:p>
      <w:pPr>
        <w:spacing w:line="500" w:lineRule="exact"/>
        <w:ind w:firstLine="480" w:firstLineChars="200"/>
        <w:jc w:val="left"/>
        <w:rPr>
          <w:kern w:val="0"/>
          <w:sz w:val="24"/>
        </w:rPr>
      </w:pPr>
      <w:r>
        <w:rPr>
          <w:rFonts w:hint="eastAsia"/>
          <w:kern w:val="0"/>
          <w:sz w:val="24"/>
        </w:rPr>
        <w:t>节能：本标准对于</w:t>
      </w:r>
      <w:r>
        <w:rPr>
          <w:rFonts w:hint="eastAsia"/>
          <w:kern w:val="0"/>
          <w:sz w:val="24"/>
          <w:lang w:val="en-US" w:eastAsia="zh-CN"/>
        </w:rPr>
        <w:t>镁碳</w:t>
      </w:r>
      <w:r>
        <w:rPr>
          <w:rFonts w:hint="eastAsia"/>
          <w:kern w:val="0"/>
          <w:sz w:val="24"/>
        </w:rPr>
        <w:t>砖单位产品能耗要求为</w:t>
      </w:r>
      <w:r>
        <w:rPr>
          <w:rFonts w:hint="eastAsia"/>
          <w:kern w:val="0"/>
          <w:sz w:val="24"/>
          <w:lang w:val="en-US" w:eastAsia="zh-CN"/>
        </w:rPr>
        <w:t>30</w:t>
      </w:r>
      <w:r>
        <w:rPr>
          <w:rFonts w:hint="eastAsia"/>
          <w:kern w:val="0"/>
          <w:sz w:val="24"/>
        </w:rPr>
        <w:t>kgce/t</w:t>
      </w:r>
      <w:r>
        <w:rPr>
          <w:rFonts w:hint="eastAsia"/>
          <w:kern w:val="0"/>
          <w:sz w:val="24"/>
          <w:lang w:eastAsia="zh-CN"/>
        </w:rPr>
        <w:t>（</w:t>
      </w:r>
      <w:r>
        <w:rPr>
          <w:rFonts w:hint="eastAsia"/>
          <w:kern w:val="0"/>
          <w:sz w:val="24"/>
          <w:lang w:val="en-US" w:eastAsia="zh-CN"/>
        </w:rPr>
        <w:t>非全流程自动化）</w:t>
      </w:r>
      <w:r>
        <w:rPr>
          <w:rFonts w:hint="eastAsia"/>
          <w:kern w:val="0"/>
          <w:sz w:val="24"/>
        </w:rPr>
        <w:t>，</w:t>
      </w:r>
      <w:r>
        <w:rPr>
          <w:rFonts w:hint="eastAsia"/>
          <w:kern w:val="0"/>
          <w:sz w:val="24"/>
          <w:lang w:val="en-US" w:eastAsia="zh-CN"/>
        </w:rPr>
        <w:t>为最新发布的行业能耗限额标准的先进值。</w:t>
      </w:r>
      <w:r>
        <w:rPr>
          <w:rFonts w:hint="eastAsia"/>
          <w:kern w:val="0"/>
          <w:sz w:val="24"/>
        </w:rPr>
        <w:t>。</w:t>
      </w:r>
    </w:p>
    <w:p>
      <w:pPr>
        <w:spacing w:line="500" w:lineRule="exact"/>
        <w:ind w:firstLine="480" w:firstLineChars="200"/>
        <w:jc w:val="left"/>
        <w:rPr>
          <w:kern w:val="0"/>
          <w:sz w:val="24"/>
        </w:rPr>
      </w:pPr>
      <w:r>
        <w:rPr>
          <w:rFonts w:hint="eastAsia"/>
          <w:kern w:val="0"/>
          <w:sz w:val="24"/>
        </w:rPr>
        <w:t>节水节材：标准绿色产品需要满足</w:t>
      </w:r>
      <w:r>
        <w:rPr>
          <w:rFonts w:hint="eastAsia"/>
          <w:kern w:val="0"/>
          <w:sz w:val="24"/>
          <w:lang w:val="en-US" w:eastAsia="zh-CN"/>
        </w:rPr>
        <w:t>不合格品</w:t>
      </w:r>
      <w:r>
        <w:rPr>
          <w:rFonts w:hint="eastAsia"/>
          <w:kern w:val="0"/>
          <w:sz w:val="24"/>
        </w:rPr>
        <w:t>回收利用率大于等于9</w:t>
      </w:r>
      <w:r>
        <w:rPr>
          <w:rFonts w:hint="eastAsia"/>
          <w:kern w:val="0"/>
          <w:sz w:val="24"/>
          <w:lang w:val="en-US" w:eastAsia="zh-CN"/>
        </w:rPr>
        <w:t>6</w:t>
      </w:r>
      <w:r>
        <w:rPr>
          <w:rFonts w:hint="eastAsia"/>
          <w:kern w:val="0"/>
          <w:sz w:val="24"/>
        </w:rPr>
        <w:t>%和生产废水回收利用率100%的要求，基本不产生固体废物。相关产品可以完全将自然资源转化为相关产品。</w:t>
      </w:r>
    </w:p>
    <w:p>
      <w:pPr>
        <w:spacing w:line="500" w:lineRule="exact"/>
        <w:ind w:firstLine="480" w:firstLineChars="200"/>
        <w:jc w:val="left"/>
        <w:rPr>
          <w:kern w:val="0"/>
          <w:sz w:val="24"/>
        </w:rPr>
      </w:pPr>
      <w:r>
        <w:rPr>
          <w:rFonts w:hint="eastAsia"/>
          <w:kern w:val="0"/>
          <w:sz w:val="24"/>
        </w:rPr>
        <w:t>（3）生态效益</w:t>
      </w:r>
    </w:p>
    <w:p>
      <w:pPr>
        <w:spacing w:line="500" w:lineRule="exact"/>
        <w:ind w:firstLine="480" w:firstLineChars="200"/>
        <w:jc w:val="left"/>
        <w:rPr>
          <w:kern w:val="0"/>
          <w:sz w:val="24"/>
        </w:rPr>
      </w:pPr>
      <w:r>
        <w:rPr>
          <w:rFonts w:hint="eastAsia"/>
          <w:kern w:val="0"/>
          <w:sz w:val="24"/>
        </w:rPr>
        <w:t>绿色产品评价和绿色工厂评价一样，注重产品的节能、减排、降碳、节材等生命周期绿色发展理念。结合相关政策的实施，以标准化为手段，将实现企业与行业层面的生态改善目标。</w:t>
      </w:r>
    </w:p>
    <w:p>
      <w:pPr>
        <w:spacing w:line="500" w:lineRule="exact"/>
        <w:ind w:firstLine="482" w:firstLineChars="200"/>
        <w:jc w:val="left"/>
        <w:rPr>
          <w:b/>
          <w:bCs/>
          <w:kern w:val="0"/>
          <w:sz w:val="24"/>
        </w:rPr>
      </w:pPr>
      <w:r>
        <w:rPr>
          <w:rFonts w:hint="eastAsia"/>
          <w:b/>
          <w:bCs/>
          <w:kern w:val="0"/>
          <w:sz w:val="24"/>
        </w:rPr>
        <w:t>（二）本标准指标的技术先进性以及本标准的发布对行业及社会发展的促进作用，即与“宜业尚品造福人类”的相关性。</w:t>
      </w:r>
    </w:p>
    <w:p>
      <w:pPr>
        <w:spacing w:line="500" w:lineRule="exact"/>
        <w:ind w:firstLine="480" w:firstLineChars="200"/>
        <w:jc w:val="left"/>
        <w:rPr>
          <w:kern w:val="0"/>
          <w:sz w:val="24"/>
        </w:rPr>
      </w:pPr>
      <w:r>
        <w:rPr>
          <w:rFonts w:hint="eastAsia"/>
          <w:kern w:val="0"/>
          <w:sz w:val="24"/>
        </w:rPr>
        <w:t>（1）宜业尚品</w:t>
      </w:r>
    </w:p>
    <w:p>
      <w:pPr>
        <w:spacing w:line="500" w:lineRule="exact"/>
        <w:ind w:firstLine="480" w:firstLineChars="200"/>
        <w:jc w:val="left"/>
        <w:rPr>
          <w:kern w:val="0"/>
          <w:sz w:val="24"/>
        </w:rPr>
      </w:pPr>
      <w:r>
        <w:rPr>
          <w:rFonts w:hint="eastAsia"/>
          <w:kern w:val="0"/>
          <w:sz w:val="24"/>
        </w:rPr>
        <w:t>党的十八大以来，我们把生态文明建设作为统筹推进“五位一体”总体布局和协调推进“四个全面”战略布局的重要内容，开展一系列根本性、开创性、长远性工作，提出一系列新理念新思想新战略，生态文明理念日益深入人心，污染治理力度之大、制度出台频度之密、监管执法尺度之严、环境质量改善速度之快前所未有，推动生态环境保护发生历史性、转折性、全局性变化。</w:t>
      </w:r>
    </w:p>
    <w:p>
      <w:pPr>
        <w:spacing w:line="500" w:lineRule="exact"/>
        <w:ind w:firstLine="480" w:firstLineChars="200"/>
        <w:jc w:val="left"/>
        <w:rPr>
          <w:kern w:val="0"/>
          <w:sz w:val="24"/>
        </w:rPr>
      </w:pPr>
      <w:r>
        <w:rPr>
          <w:rFonts w:hint="eastAsia"/>
          <w:kern w:val="0"/>
          <w:sz w:val="24"/>
        </w:rPr>
        <w:t>本标准属工信部推行“绿色制造体系”中绿色设计产品类标准，与国家生态文明建设目标相契合。绿色设计产品资源、能源、环境、产品四属性分别时对产品提出了节约、降耗、环保、安全四个方面的高质量要求，是从多方面对产品进行绿色设计，使其符合行业共同力意的有效途径。另一方面，对生产过程环境影响较大的建材产品从全生命周期角度考核，降低其环境影响。并通过对建材产品进行生命周期评价，可以实现更具针对性的绿色设计改进方案。更有效地提高建材产品的环境友好性，真正实现产品的“宜业尚品”。</w:t>
      </w:r>
    </w:p>
    <w:p>
      <w:pPr>
        <w:spacing w:line="500" w:lineRule="exact"/>
        <w:ind w:firstLine="480" w:firstLineChars="200"/>
        <w:jc w:val="left"/>
        <w:rPr>
          <w:kern w:val="0"/>
          <w:sz w:val="24"/>
        </w:rPr>
      </w:pPr>
      <w:r>
        <w:rPr>
          <w:rFonts w:hint="eastAsia"/>
          <w:kern w:val="0"/>
          <w:sz w:val="24"/>
        </w:rPr>
        <w:t>（2）造福人类</w:t>
      </w:r>
    </w:p>
    <w:p>
      <w:pPr>
        <w:spacing w:line="500" w:lineRule="exact"/>
        <w:ind w:firstLine="480" w:firstLineChars="200"/>
        <w:jc w:val="left"/>
        <w:rPr>
          <w:kern w:val="0"/>
          <w:sz w:val="24"/>
        </w:rPr>
      </w:pPr>
      <w:r>
        <w:rPr>
          <w:rFonts w:hint="eastAsia"/>
          <w:kern w:val="0"/>
          <w:sz w:val="24"/>
        </w:rPr>
        <w:t>本标准不仅从多维度对产品提出了严格要求，同时要求对产品进行生命周期评价，在建材领域引入生命周期理念，是近些年国家倡导生态建设、生态设计后在建材行业逐渐推行起来的。</w:t>
      </w:r>
    </w:p>
    <w:p>
      <w:pPr>
        <w:spacing w:line="500" w:lineRule="exact"/>
        <w:ind w:firstLine="480" w:firstLineChars="200"/>
        <w:jc w:val="left"/>
        <w:rPr>
          <w:kern w:val="0"/>
          <w:sz w:val="24"/>
        </w:rPr>
      </w:pPr>
      <w:r>
        <w:rPr>
          <w:rFonts w:hint="eastAsia"/>
          <w:kern w:val="0"/>
          <w:sz w:val="24"/>
        </w:rPr>
        <w:t>建材行业做为耗能大户，高技术新技术的推广是降低能耗从而降低其环境影响的有效途径。本标准中对生产企业的生产技术，产品生产资源消耗、能源消耗均提出了明确要求。对本行业优化产业结构，促进企业进行技术改革，淘汰落后产能可起到有效的推进作用。由此实现资源、能源消耗的降低，进而真正实现造福社会、造福人类。</w:t>
      </w:r>
    </w:p>
    <w:p>
      <w:pPr>
        <w:pStyle w:val="33"/>
        <w:spacing w:before="156" w:after="156" w:line="500" w:lineRule="exact"/>
        <w:rPr>
          <w:szCs w:val="24"/>
        </w:rPr>
      </w:pPr>
      <w:bookmarkStart w:id="62" w:name="_Toc66714176"/>
      <w:r>
        <w:rPr>
          <w:rFonts w:hint="eastAsia"/>
          <w:szCs w:val="24"/>
        </w:rPr>
        <w:t>六</w:t>
      </w:r>
      <w:r>
        <w:rPr>
          <w:szCs w:val="24"/>
        </w:rPr>
        <w:t>、</w:t>
      </w:r>
      <w:r>
        <w:rPr>
          <w:rFonts w:hint="eastAsia"/>
          <w:szCs w:val="24"/>
        </w:rPr>
        <w:t>标准中涉及专利情况</w:t>
      </w:r>
      <w:bookmarkEnd w:id="15"/>
      <w:bookmarkEnd w:id="16"/>
      <w:bookmarkEnd w:id="17"/>
      <w:bookmarkEnd w:id="60"/>
      <w:bookmarkEnd w:id="62"/>
    </w:p>
    <w:p>
      <w:pPr>
        <w:spacing w:line="500" w:lineRule="exact"/>
        <w:ind w:firstLine="480" w:firstLineChars="200"/>
        <w:rPr>
          <w:sz w:val="24"/>
        </w:rPr>
      </w:pPr>
      <w:r>
        <w:rPr>
          <w:rFonts w:hint="eastAsia"/>
          <w:sz w:val="24"/>
        </w:rPr>
        <w:t>本标准不涉及专利。</w:t>
      </w:r>
    </w:p>
    <w:p>
      <w:pPr>
        <w:pStyle w:val="33"/>
        <w:spacing w:before="156" w:after="156" w:line="500" w:lineRule="exact"/>
        <w:rPr>
          <w:szCs w:val="24"/>
        </w:rPr>
      </w:pPr>
      <w:bookmarkStart w:id="63" w:name="_Toc529605006"/>
      <w:bookmarkStart w:id="64" w:name="_Toc1139492"/>
      <w:bookmarkStart w:id="65" w:name="_Toc66714177"/>
      <w:r>
        <w:rPr>
          <w:szCs w:val="24"/>
        </w:rPr>
        <w:t>七、采用国际标准和国外先进标准情况，与国际、国外同类标准水平的对比情况，国内外关键指标对比分析或与测试的国外样品、样机的相关数据对比情况</w:t>
      </w:r>
      <w:bookmarkEnd w:id="63"/>
      <w:bookmarkEnd w:id="64"/>
      <w:bookmarkEnd w:id="65"/>
    </w:p>
    <w:p>
      <w:pPr>
        <w:snapToGrid w:val="0"/>
        <w:spacing w:line="500" w:lineRule="exact"/>
        <w:ind w:firstLine="480" w:firstLineChars="200"/>
        <w:rPr>
          <w:sz w:val="24"/>
        </w:rPr>
      </w:pPr>
      <w:r>
        <w:rPr>
          <w:rFonts w:hint="eastAsia"/>
          <w:sz w:val="24"/>
        </w:rPr>
        <w:t>无</w:t>
      </w:r>
      <w:r>
        <w:rPr>
          <w:sz w:val="24"/>
        </w:rPr>
        <w:t>。</w:t>
      </w:r>
    </w:p>
    <w:p>
      <w:pPr>
        <w:pStyle w:val="33"/>
        <w:spacing w:before="156" w:after="156" w:line="500" w:lineRule="exact"/>
        <w:rPr>
          <w:szCs w:val="24"/>
        </w:rPr>
      </w:pPr>
      <w:bookmarkStart w:id="66" w:name="_Toc529605007"/>
      <w:bookmarkStart w:id="67" w:name="_Toc1139493"/>
      <w:bookmarkStart w:id="68" w:name="_Toc66714178"/>
      <w:r>
        <w:rPr>
          <w:szCs w:val="24"/>
        </w:rPr>
        <w:t>八、与现行相关法律、法规、规章及相关标准，特别是强制性标准的协调性</w:t>
      </w:r>
      <w:bookmarkEnd w:id="66"/>
      <w:bookmarkEnd w:id="67"/>
      <w:bookmarkEnd w:id="68"/>
    </w:p>
    <w:p>
      <w:pPr>
        <w:snapToGrid w:val="0"/>
        <w:spacing w:line="500" w:lineRule="exact"/>
        <w:ind w:firstLine="480" w:firstLineChars="200"/>
        <w:rPr>
          <w:sz w:val="24"/>
        </w:rPr>
      </w:pPr>
      <w:r>
        <w:rPr>
          <w:sz w:val="24"/>
        </w:rPr>
        <w:t>无</w:t>
      </w:r>
      <w:bookmarkStart w:id="84" w:name="_GoBack"/>
      <w:bookmarkEnd w:id="84"/>
    </w:p>
    <w:p>
      <w:pPr>
        <w:pStyle w:val="33"/>
        <w:spacing w:before="156" w:after="156" w:line="500" w:lineRule="exact"/>
        <w:rPr>
          <w:szCs w:val="24"/>
        </w:rPr>
      </w:pPr>
      <w:bookmarkStart w:id="69" w:name="_Toc66714179"/>
      <w:bookmarkStart w:id="70" w:name="_Toc529605008"/>
      <w:bookmarkStart w:id="71" w:name="_Toc1139494"/>
      <w:r>
        <w:rPr>
          <w:szCs w:val="24"/>
        </w:rPr>
        <w:t>九、重大分歧意见的处理经过和依据</w:t>
      </w:r>
      <w:bookmarkEnd w:id="69"/>
      <w:bookmarkEnd w:id="70"/>
      <w:bookmarkEnd w:id="71"/>
    </w:p>
    <w:p>
      <w:pPr>
        <w:snapToGrid w:val="0"/>
        <w:spacing w:line="500" w:lineRule="exact"/>
        <w:ind w:firstLine="480" w:firstLineChars="200"/>
        <w:rPr>
          <w:sz w:val="24"/>
        </w:rPr>
      </w:pPr>
      <w:r>
        <w:rPr>
          <w:sz w:val="24"/>
        </w:rPr>
        <w:t>无。</w:t>
      </w:r>
    </w:p>
    <w:p>
      <w:pPr>
        <w:pStyle w:val="33"/>
        <w:spacing w:before="156" w:after="156" w:line="500" w:lineRule="exact"/>
        <w:rPr>
          <w:szCs w:val="24"/>
        </w:rPr>
      </w:pPr>
      <w:bookmarkStart w:id="72" w:name="_Toc66714180"/>
      <w:bookmarkStart w:id="73" w:name="_Toc529605009"/>
      <w:bookmarkStart w:id="74" w:name="_Toc1139495"/>
      <w:r>
        <w:rPr>
          <w:szCs w:val="24"/>
        </w:rPr>
        <w:t>十、标准性质的建议说明</w:t>
      </w:r>
      <w:bookmarkEnd w:id="72"/>
      <w:bookmarkEnd w:id="73"/>
      <w:bookmarkEnd w:id="74"/>
    </w:p>
    <w:p>
      <w:pPr>
        <w:snapToGrid w:val="0"/>
        <w:spacing w:line="500" w:lineRule="exact"/>
        <w:ind w:firstLine="480" w:firstLineChars="200"/>
        <w:rPr>
          <w:sz w:val="24"/>
        </w:rPr>
      </w:pPr>
      <w:r>
        <w:rPr>
          <w:sz w:val="24"/>
        </w:rPr>
        <w:t>建议本标准作为行业推荐性标准发布。</w:t>
      </w:r>
    </w:p>
    <w:p>
      <w:pPr>
        <w:pStyle w:val="33"/>
        <w:spacing w:before="156" w:after="156" w:line="500" w:lineRule="exact"/>
        <w:rPr>
          <w:szCs w:val="24"/>
        </w:rPr>
      </w:pPr>
      <w:bookmarkStart w:id="75" w:name="_Toc1139496"/>
      <w:bookmarkStart w:id="76" w:name="_Toc66714181"/>
      <w:bookmarkStart w:id="77" w:name="_Toc529605010"/>
      <w:r>
        <w:rPr>
          <w:szCs w:val="24"/>
        </w:rPr>
        <w:t>十一、贯彻标准的要求和措施建议（包括组织措施、技术措施、过度办法、实施日期等）</w:t>
      </w:r>
      <w:bookmarkEnd w:id="75"/>
      <w:bookmarkEnd w:id="76"/>
      <w:bookmarkEnd w:id="77"/>
    </w:p>
    <w:p>
      <w:pPr>
        <w:snapToGrid w:val="0"/>
        <w:spacing w:line="500" w:lineRule="exact"/>
        <w:ind w:firstLine="480" w:firstLineChars="200"/>
        <w:rPr>
          <w:sz w:val="24"/>
        </w:rPr>
      </w:pPr>
      <w:r>
        <w:rPr>
          <w:sz w:val="24"/>
        </w:rPr>
        <w:t>建议按照标准报批计划确定实施日期。</w:t>
      </w:r>
    </w:p>
    <w:p>
      <w:pPr>
        <w:pStyle w:val="33"/>
        <w:spacing w:before="156" w:after="156" w:line="500" w:lineRule="exact"/>
        <w:rPr>
          <w:szCs w:val="24"/>
        </w:rPr>
      </w:pPr>
      <w:bookmarkStart w:id="78" w:name="_Toc529605011"/>
      <w:bookmarkStart w:id="79" w:name="_Toc66714182"/>
      <w:bookmarkStart w:id="80" w:name="_Toc1139497"/>
      <w:r>
        <w:rPr>
          <w:szCs w:val="24"/>
        </w:rPr>
        <w:t>十二、废止现行相关标准的建议</w:t>
      </w:r>
      <w:bookmarkEnd w:id="78"/>
      <w:bookmarkEnd w:id="79"/>
      <w:bookmarkEnd w:id="80"/>
    </w:p>
    <w:p>
      <w:pPr>
        <w:snapToGrid w:val="0"/>
        <w:spacing w:line="500" w:lineRule="exact"/>
        <w:ind w:firstLine="480" w:firstLineChars="200"/>
        <w:rPr>
          <w:sz w:val="24"/>
        </w:rPr>
      </w:pPr>
      <w:r>
        <w:rPr>
          <w:sz w:val="24"/>
        </w:rPr>
        <w:t>无。</w:t>
      </w:r>
    </w:p>
    <w:p>
      <w:pPr>
        <w:pStyle w:val="33"/>
        <w:spacing w:before="156" w:after="156" w:line="500" w:lineRule="exact"/>
        <w:rPr>
          <w:szCs w:val="24"/>
        </w:rPr>
      </w:pPr>
      <w:bookmarkStart w:id="81" w:name="_Toc66714183"/>
      <w:bookmarkStart w:id="82" w:name="_Toc529605012"/>
      <w:bookmarkStart w:id="83" w:name="_Toc1139498"/>
      <w:r>
        <w:rPr>
          <w:szCs w:val="24"/>
        </w:rPr>
        <w:t>十三、其它应予说明的事项</w:t>
      </w:r>
      <w:bookmarkEnd w:id="81"/>
      <w:bookmarkEnd w:id="82"/>
      <w:bookmarkEnd w:id="83"/>
    </w:p>
    <w:p>
      <w:pPr>
        <w:snapToGrid w:val="0"/>
        <w:spacing w:line="500" w:lineRule="exact"/>
        <w:ind w:firstLine="480" w:firstLineChars="200"/>
        <w:rPr>
          <w:sz w:val="24"/>
        </w:rPr>
      </w:pPr>
      <w:r>
        <w:rPr>
          <w:sz w:val="24"/>
        </w:rPr>
        <w:t>无。</w:t>
      </w:r>
    </w:p>
    <w:p>
      <w:pPr>
        <w:spacing w:line="500" w:lineRule="exact"/>
      </w:pPr>
    </w:p>
    <w:sectPr>
      <w:pgSz w:w="11906" w:h="16838"/>
      <w:pgMar w:top="1418" w:right="1474" w:bottom="1361" w:left="1588" w:header="737" w:footer="737" w:gutter="0"/>
      <w:pgNumType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center"/>
      <w:rPr>
        <w:rFonts w:ascii="Times New Roman"/>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center"/>
      <w:rPr>
        <w:rFonts w:ascii="Times New Roman"/>
        <w:sz w:val="21"/>
        <w:szCs w:val="21"/>
      </w:rPr>
    </w:pPr>
    <w:r>
      <w:rPr>
        <w:rFonts w:ascii="Times New Roman"/>
        <w:sz w:val="21"/>
        <w:szCs w:val="21"/>
      </w:rPr>
      <w:fldChar w:fldCharType="begin"/>
    </w:r>
    <w:r>
      <w:rPr>
        <w:rFonts w:ascii="Times New Roman"/>
        <w:sz w:val="21"/>
        <w:szCs w:val="21"/>
      </w:rPr>
      <w:instrText xml:space="preserve"> PAGE  \* MERGEFORMAT </w:instrText>
    </w:r>
    <w:r>
      <w:rPr>
        <w:rFonts w:ascii="Times New Roman"/>
        <w:sz w:val="21"/>
        <w:szCs w:val="21"/>
      </w:rPr>
      <w:fldChar w:fldCharType="separate"/>
    </w:r>
    <w:r>
      <w:rPr>
        <w:rFonts w:ascii="Times New Roman"/>
        <w:sz w:val="21"/>
        <w:szCs w:val="21"/>
      </w:rPr>
      <w:t>11</w:t>
    </w:r>
    <w:r>
      <w:rPr>
        <w:rFonts w:ascii="Times New Roman"/>
        <w:sz w:val="21"/>
        <w:szCs w:val="21"/>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613203"/>
    <w:multiLevelType w:val="multilevel"/>
    <w:tmpl w:val="59613203"/>
    <w:lvl w:ilvl="0" w:tentative="0">
      <w:start w:val="1"/>
      <w:numFmt w:val="lowerLetter"/>
      <w:lvlText w:val="%1）"/>
      <w:lvlJc w:val="left"/>
      <w:pPr>
        <w:ind w:left="840" w:hanging="420"/>
      </w:pPr>
      <w:rPr>
        <w:rFonts w:hint="default"/>
      </w:rPr>
    </w:lvl>
    <w:lvl w:ilvl="1" w:tentative="0">
      <w:start w:val="1"/>
      <w:numFmt w:val="lowerLetter"/>
      <w:lvlText w:val="%2)"/>
      <w:lvlJc w:val="left"/>
      <w:pPr>
        <w:ind w:left="1260" w:hanging="42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JkYzYxZTBlOGZlYmI2ODcxZGJlZTk2ZjhhNjg1M2EifQ=="/>
  </w:docVars>
  <w:rsids>
    <w:rsidRoot w:val="009C30D0"/>
    <w:rsid w:val="000011B9"/>
    <w:rsid w:val="00046F34"/>
    <w:rsid w:val="000609F7"/>
    <w:rsid w:val="000620E9"/>
    <w:rsid w:val="000B7931"/>
    <w:rsid w:val="000E35FD"/>
    <w:rsid w:val="00103D25"/>
    <w:rsid w:val="00104E4C"/>
    <w:rsid w:val="00106511"/>
    <w:rsid w:val="00113A15"/>
    <w:rsid w:val="001258F8"/>
    <w:rsid w:val="00141106"/>
    <w:rsid w:val="00141330"/>
    <w:rsid w:val="001535C7"/>
    <w:rsid w:val="00153719"/>
    <w:rsid w:val="00155481"/>
    <w:rsid w:val="001600AA"/>
    <w:rsid w:val="00162E32"/>
    <w:rsid w:val="001709F3"/>
    <w:rsid w:val="0019471E"/>
    <w:rsid w:val="001B374F"/>
    <w:rsid w:val="001B6084"/>
    <w:rsid w:val="001C0805"/>
    <w:rsid w:val="001C21DA"/>
    <w:rsid w:val="001C5385"/>
    <w:rsid w:val="001C605F"/>
    <w:rsid w:val="001E6DDC"/>
    <w:rsid w:val="00200344"/>
    <w:rsid w:val="00204A40"/>
    <w:rsid w:val="00210BFB"/>
    <w:rsid w:val="0023377E"/>
    <w:rsid w:val="002348D4"/>
    <w:rsid w:val="00262C6F"/>
    <w:rsid w:val="00274C2E"/>
    <w:rsid w:val="00276477"/>
    <w:rsid w:val="00286B2C"/>
    <w:rsid w:val="002C467F"/>
    <w:rsid w:val="002C6885"/>
    <w:rsid w:val="002C736F"/>
    <w:rsid w:val="002D00E8"/>
    <w:rsid w:val="002D6125"/>
    <w:rsid w:val="00301D81"/>
    <w:rsid w:val="00321136"/>
    <w:rsid w:val="00361B2B"/>
    <w:rsid w:val="00362069"/>
    <w:rsid w:val="003A10D5"/>
    <w:rsid w:val="003C2DFE"/>
    <w:rsid w:val="003D01C6"/>
    <w:rsid w:val="003D7E41"/>
    <w:rsid w:val="003E00A1"/>
    <w:rsid w:val="003E01E7"/>
    <w:rsid w:val="003E10F4"/>
    <w:rsid w:val="003E2A9B"/>
    <w:rsid w:val="003F562D"/>
    <w:rsid w:val="004139AC"/>
    <w:rsid w:val="00413E41"/>
    <w:rsid w:val="00415C95"/>
    <w:rsid w:val="004160CF"/>
    <w:rsid w:val="00443EAA"/>
    <w:rsid w:val="004544F3"/>
    <w:rsid w:val="00474EAD"/>
    <w:rsid w:val="004943E5"/>
    <w:rsid w:val="00494B49"/>
    <w:rsid w:val="004A06FB"/>
    <w:rsid w:val="004A231D"/>
    <w:rsid w:val="004A434D"/>
    <w:rsid w:val="004B77A4"/>
    <w:rsid w:val="004C4C85"/>
    <w:rsid w:val="004E4E17"/>
    <w:rsid w:val="004F3DA0"/>
    <w:rsid w:val="00505DC5"/>
    <w:rsid w:val="00506676"/>
    <w:rsid w:val="00537776"/>
    <w:rsid w:val="00541251"/>
    <w:rsid w:val="00541E80"/>
    <w:rsid w:val="00546BC3"/>
    <w:rsid w:val="005540FE"/>
    <w:rsid w:val="00566EF1"/>
    <w:rsid w:val="00575877"/>
    <w:rsid w:val="00597B42"/>
    <w:rsid w:val="005A1F83"/>
    <w:rsid w:val="005C2C74"/>
    <w:rsid w:val="005D15D2"/>
    <w:rsid w:val="005E36C5"/>
    <w:rsid w:val="005E5259"/>
    <w:rsid w:val="005F1D26"/>
    <w:rsid w:val="005F3266"/>
    <w:rsid w:val="0061645B"/>
    <w:rsid w:val="00620D7E"/>
    <w:rsid w:val="00650AE6"/>
    <w:rsid w:val="006572C6"/>
    <w:rsid w:val="00666496"/>
    <w:rsid w:val="006E706A"/>
    <w:rsid w:val="006F01A3"/>
    <w:rsid w:val="006F4855"/>
    <w:rsid w:val="006F5C55"/>
    <w:rsid w:val="00703333"/>
    <w:rsid w:val="00714C06"/>
    <w:rsid w:val="0074266D"/>
    <w:rsid w:val="00755AA0"/>
    <w:rsid w:val="00767DB4"/>
    <w:rsid w:val="00784095"/>
    <w:rsid w:val="00791203"/>
    <w:rsid w:val="00791B14"/>
    <w:rsid w:val="00796B91"/>
    <w:rsid w:val="007C0AC6"/>
    <w:rsid w:val="007F3B58"/>
    <w:rsid w:val="00812E52"/>
    <w:rsid w:val="00817F9F"/>
    <w:rsid w:val="0082095C"/>
    <w:rsid w:val="00821C87"/>
    <w:rsid w:val="0083581F"/>
    <w:rsid w:val="008625CA"/>
    <w:rsid w:val="00881417"/>
    <w:rsid w:val="008952C5"/>
    <w:rsid w:val="008954B9"/>
    <w:rsid w:val="008A1288"/>
    <w:rsid w:val="008A4236"/>
    <w:rsid w:val="008A52F4"/>
    <w:rsid w:val="008A5CD7"/>
    <w:rsid w:val="008B19C7"/>
    <w:rsid w:val="008C19FB"/>
    <w:rsid w:val="008C2388"/>
    <w:rsid w:val="008D5997"/>
    <w:rsid w:val="008F390F"/>
    <w:rsid w:val="0091204A"/>
    <w:rsid w:val="00914222"/>
    <w:rsid w:val="00914675"/>
    <w:rsid w:val="009273F6"/>
    <w:rsid w:val="00970BD0"/>
    <w:rsid w:val="0097119A"/>
    <w:rsid w:val="009A2298"/>
    <w:rsid w:val="009A525D"/>
    <w:rsid w:val="009A746B"/>
    <w:rsid w:val="009B1A23"/>
    <w:rsid w:val="009C30D0"/>
    <w:rsid w:val="009C5D0C"/>
    <w:rsid w:val="009D4551"/>
    <w:rsid w:val="009E713E"/>
    <w:rsid w:val="009F1850"/>
    <w:rsid w:val="009F28BA"/>
    <w:rsid w:val="00A0145D"/>
    <w:rsid w:val="00A72A0A"/>
    <w:rsid w:val="00A738AE"/>
    <w:rsid w:val="00A866BF"/>
    <w:rsid w:val="00A97BC7"/>
    <w:rsid w:val="00AA016F"/>
    <w:rsid w:val="00AB2CD1"/>
    <w:rsid w:val="00AF63A9"/>
    <w:rsid w:val="00B013DD"/>
    <w:rsid w:val="00B142BF"/>
    <w:rsid w:val="00B21A48"/>
    <w:rsid w:val="00B35473"/>
    <w:rsid w:val="00B40D0A"/>
    <w:rsid w:val="00B4315C"/>
    <w:rsid w:val="00B43CE7"/>
    <w:rsid w:val="00B463F1"/>
    <w:rsid w:val="00B70929"/>
    <w:rsid w:val="00B70CD4"/>
    <w:rsid w:val="00B81C59"/>
    <w:rsid w:val="00BA2421"/>
    <w:rsid w:val="00BA5C59"/>
    <w:rsid w:val="00BC2993"/>
    <w:rsid w:val="00BC2CE2"/>
    <w:rsid w:val="00BE7019"/>
    <w:rsid w:val="00C06E53"/>
    <w:rsid w:val="00C10162"/>
    <w:rsid w:val="00C3390D"/>
    <w:rsid w:val="00C53088"/>
    <w:rsid w:val="00C60645"/>
    <w:rsid w:val="00C677A3"/>
    <w:rsid w:val="00C9409B"/>
    <w:rsid w:val="00CB246F"/>
    <w:rsid w:val="00CC2812"/>
    <w:rsid w:val="00CC792E"/>
    <w:rsid w:val="00CD4B66"/>
    <w:rsid w:val="00CD4FC1"/>
    <w:rsid w:val="00CE2FBF"/>
    <w:rsid w:val="00CE66E2"/>
    <w:rsid w:val="00CF48C6"/>
    <w:rsid w:val="00D03B3C"/>
    <w:rsid w:val="00D03BF8"/>
    <w:rsid w:val="00D24592"/>
    <w:rsid w:val="00D27F11"/>
    <w:rsid w:val="00D30402"/>
    <w:rsid w:val="00D31D1A"/>
    <w:rsid w:val="00D40A89"/>
    <w:rsid w:val="00D40AE4"/>
    <w:rsid w:val="00D4757F"/>
    <w:rsid w:val="00D849BD"/>
    <w:rsid w:val="00DA02A0"/>
    <w:rsid w:val="00DB6D17"/>
    <w:rsid w:val="00DC1348"/>
    <w:rsid w:val="00DC3603"/>
    <w:rsid w:val="00DC5379"/>
    <w:rsid w:val="00DD6AD5"/>
    <w:rsid w:val="00DD7C02"/>
    <w:rsid w:val="00DF118E"/>
    <w:rsid w:val="00DF1638"/>
    <w:rsid w:val="00E05DDD"/>
    <w:rsid w:val="00E421B9"/>
    <w:rsid w:val="00E508B2"/>
    <w:rsid w:val="00E519A6"/>
    <w:rsid w:val="00E54254"/>
    <w:rsid w:val="00E630FD"/>
    <w:rsid w:val="00E904E8"/>
    <w:rsid w:val="00E97E08"/>
    <w:rsid w:val="00EA3F0A"/>
    <w:rsid w:val="00EA542E"/>
    <w:rsid w:val="00EA693C"/>
    <w:rsid w:val="00ED704D"/>
    <w:rsid w:val="00F07C7B"/>
    <w:rsid w:val="00F26E00"/>
    <w:rsid w:val="00F32A18"/>
    <w:rsid w:val="00F3353A"/>
    <w:rsid w:val="00F37ADF"/>
    <w:rsid w:val="00F51D9A"/>
    <w:rsid w:val="00F6451C"/>
    <w:rsid w:val="00F92177"/>
    <w:rsid w:val="00FC0D39"/>
    <w:rsid w:val="00FC19F2"/>
    <w:rsid w:val="00FC2ACF"/>
    <w:rsid w:val="00FE5842"/>
    <w:rsid w:val="00FE5F61"/>
    <w:rsid w:val="32963820"/>
    <w:rsid w:val="3BFF26BE"/>
    <w:rsid w:val="455530C7"/>
    <w:rsid w:val="47DE088C"/>
    <w:rsid w:val="63A979C1"/>
    <w:rsid w:val="74633473"/>
    <w:rsid w:val="7F0B7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semiHidden="0" w:name="toc 3"/>
    <w:lsdException w:qFormat="1" w:uiPriority="39" w:semiHidden="0" w:name="toc 4"/>
    <w:lsdException w:qFormat="1" w:uiPriority="39" w:semiHidden="0" w:name="toc 5"/>
    <w:lsdException w:uiPriority="39" w:semiHidden="0" w:name="toc 6"/>
    <w:lsdException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name="annotation text"/>
    <w:lsdException w:qFormat="1" w:unhideWhenUsed="0"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4"/>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6">
    <w:name w:val="toc 7"/>
    <w:basedOn w:val="1"/>
    <w:next w:val="1"/>
    <w:unhideWhenUsed/>
    <w:uiPriority w:val="39"/>
    <w:pPr>
      <w:ind w:left="1260"/>
      <w:jc w:val="left"/>
    </w:pPr>
    <w:rPr>
      <w:rFonts w:asciiTheme="minorHAnsi" w:eastAsiaTheme="minorHAnsi"/>
      <w:sz w:val="20"/>
      <w:szCs w:val="20"/>
    </w:rPr>
  </w:style>
  <w:style w:type="paragraph" w:styleId="7">
    <w:name w:val="Document Map"/>
    <w:basedOn w:val="1"/>
    <w:link w:val="57"/>
    <w:semiHidden/>
    <w:unhideWhenUsed/>
    <w:uiPriority w:val="99"/>
    <w:rPr>
      <w:rFonts w:ascii="宋体"/>
      <w:sz w:val="18"/>
      <w:szCs w:val="18"/>
    </w:rPr>
  </w:style>
  <w:style w:type="paragraph" w:styleId="8">
    <w:name w:val="annotation text"/>
    <w:basedOn w:val="1"/>
    <w:link w:val="48"/>
    <w:semiHidden/>
    <w:unhideWhenUsed/>
    <w:qFormat/>
    <w:uiPriority w:val="99"/>
    <w:pPr>
      <w:jc w:val="left"/>
    </w:pPr>
    <w:rPr>
      <w:rFonts w:asciiTheme="minorHAnsi" w:hAnsiTheme="minorHAnsi" w:eastAsiaTheme="minorEastAsia" w:cstheme="minorBidi"/>
      <w:szCs w:val="22"/>
    </w:rPr>
  </w:style>
  <w:style w:type="paragraph" w:styleId="9">
    <w:name w:val="toc 5"/>
    <w:basedOn w:val="1"/>
    <w:next w:val="1"/>
    <w:unhideWhenUsed/>
    <w:qFormat/>
    <w:uiPriority w:val="39"/>
    <w:pPr>
      <w:ind w:left="840"/>
      <w:jc w:val="left"/>
    </w:pPr>
    <w:rPr>
      <w:rFonts w:asciiTheme="minorHAnsi" w:eastAsiaTheme="minorHAnsi"/>
      <w:sz w:val="20"/>
      <w:szCs w:val="20"/>
    </w:rPr>
  </w:style>
  <w:style w:type="paragraph" w:styleId="10">
    <w:name w:val="toc 3"/>
    <w:basedOn w:val="1"/>
    <w:next w:val="1"/>
    <w:unhideWhenUsed/>
    <w:uiPriority w:val="39"/>
    <w:pPr>
      <w:ind w:left="420"/>
      <w:jc w:val="left"/>
    </w:pPr>
    <w:rPr>
      <w:rFonts w:asciiTheme="minorHAnsi" w:eastAsiaTheme="minorHAnsi"/>
      <w:sz w:val="20"/>
      <w:szCs w:val="20"/>
    </w:rPr>
  </w:style>
  <w:style w:type="paragraph" w:styleId="11">
    <w:name w:val="toc 8"/>
    <w:basedOn w:val="1"/>
    <w:next w:val="1"/>
    <w:unhideWhenUsed/>
    <w:qFormat/>
    <w:uiPriority w:val="39"/>
    <w:pPr>
      <w:ind w:left="1470"/>
      <w:jc w:val="left"/>
    </w:pPr>
    <w:rPr>
      <w:rFonts w:asciiTheme="minorHAnsi" w:eastAsiaTheme="minorHAnsi"/>
      <w:sz w:val="20"/>
      <w:szCs w:val="20"/>
    </w:rPr>
  </w:style>
  <w:style w:type="paragraph" w:styleId="12">
    <w:name w:val="Date"/>
    <w:basedOn w:val="1"/>
    <w:next w:val="1"/>
    <w:link w:val="53"/>
    <w:semiHidden/>
    <w:unhideWhenUsed/>
    <w:uiPriority w:val="99"/>
    <w:pPr>
      <w:ind w:left="100" w:leftChars="2500"/>
    </w:pPr>
    <w:rPr>
      <w:rFonts w:asciiTheme="minorHAnsi" w:hAnsiTheme="minorHAnsi" w:eastAsiaTheme="minorEastAsia" w:cstheme="minorBidi"/>
      <w:szCs w:val="22"/>
    </w:rPr>
  </w:style>
  <w:style w:type="paragraph" w:styleId="13">
    <w:name w:val="Balloon Text"/>
    <w:basedOn w:val="1"/>
    <w:link w:val="55"/>
    <w:semiHidden/>
    <w:unhideWhenUsed/>
    <w:qFormat/>
    <w:uiPriority w:val="99"/>
    <w:rPr>
      <w:sz w:val="18"/>
      <w:szCs w:val="18"/>
    </w:rPr>
  </w:style>
  <w:style w:type="paragraph" w:styleId="14">
    <w:name w:val="footer"/>
    <w:basedOn w:val="1"/>
    <w:link w:val="47"/>
    <w:unhideWhenUsed/>
    <w:uiPriority w:val="99"/>
    <w:pPr>
      <w:tabs>
        <w:tab w:val="center" w:pos="4153"/>
        <w:tab w:val="right" w:pos="8306"/>
      </w:tabs>
      <w:snapToGrid w:val="0"/>
      <w:jc w:val="left"/>
    </w:pPr>
    <w:rPr>
      <w:sz w:val="18"/>
      <w:szCs w:val="18"/>
    </w:rPr>
  </w:style>
  <w:style w:type="paragraph" w:styleId="15">
    <w:name w:val="header"/>
    <w:basedOn w:val="1"/>
    <w:link w:val="29"/>
    <w:qFormat/>
    <w:uiPriority w:val="0"/>
    <w:pPr>
      <w:snapToGrid w:val="0"/>
      <w:jc w:val="left"/>
    </w:pPr>
    <w:rPr>
      <w:sz w:val="18"/>
      <w:szCs w:val="18"/>
    </w:rPr>
  </w:style>
  <w:style w:type="paragraph" w:styleId="16">
    <w:name w:val="toc 1"/>
    <w:basedOn w:val="1"/>
    <w:next w:val="1"/>
    <w:qFormat/>
    <w:uiPriority w:val="39"/>
    <w:pPr>
      <w:spacing w:before="240" w:after="120"/>
      <w:jc w:val="left"/>
    </w:pPr>
    <w:rPr>
      <w:rFonts w:asciiTheme="minorHAnsi" w:eastAsiaTheme="minorHAnsi"/>
      <w:b/>
      <w:bCs/>
      <w:sz w:val="20"/>
      <w:szCs w:val="20"/>
    </w:rPr>
  </w:style>
  <w:style w:type="paragraph" w:styleId="17">
    <w:name w:val="toc 4"/>
    <w:basedOn w:val="1"/>
    <w:next w:val="1"/>
    <w:unhideWhenUsed/>
    <w:qFormat/>
    <w:uiPriority w:val="39"/>
    <w:pPr>
      <w:ind w:left="630"/>
      <w:jc w:val="left"/>
    </w:pPr>
    <w:rPr>
      <w:rFonts w:asciiTheme="minorHAnsi" w:eastAsiaTheme="minorHAnsi"/>
      <w:sz w:val="20"/>
      <w:szCs w:val="20"/>
    </w:rPr>
  </w:style>
  <w:style w:type="paragraph" w:styleId="18">
    <w:name w:val="toc 6"/>
    <w:basedOn w:val="1"/>
    <w:next w:val="1"/>
    <w:unhideWhenUsed/>
    <w:uiPriority w:val="39"/>
    <w:pPr>
      <w:ind w:left="1050"/>
      <w:jc w:val="left"/>
    </w:pPr>
    <w:rPr>
      <w:rFonts w:asciiTheme="minorHAnsi" w:eastAsiaTheme="minorHAnsi"/>
      <w:sz w:val="20"/>
      <w:szCs w:val="20"/>
    </w:rPr>
  </w:style>
  <w:style w:type="paragraph" w:styleId="19">
    <w:name w:val="toc 2"/>
    <w:basedOn w:val="1"/>
    <w:next w:val="1"/>
    <w:qFormat/>
    <w:uiPriority w:val="39"/>
    <w:pPr>
      <w:spacing w:before="120"/>
      <w:ind w:left="210"/>
      <w:jc w:val="left"/>
    </w:pPr>
    <w:rPr>
      <w:rFonts w:asciiTheme="minorHAnsi" w:eastAsiaTheme="minorHAnsi"/>
      <w:i/>
      <w:iCs/>
      <w:sz w:val="20"/>
      <w:szCs w:val="20"/>
    </w:rPr>
  </w:style>
  <w:style w:type="paragraph" w:styleId="20">
    <w:name w:val="toc 9"/>
    <w:basedOn w:val="1"/>
    <w:next w:val="1"/>
    <w:unhideWhenUsed/>
    <w:qFormat/>
    <w:uiPriority w:val="39"/>
    <w:pPr>
      <w:ind w:left="1680"/>
      <w:jc w:val="left"/>
    </w:pPr>
    <w:rPr>
      <w:rFonts w:asciiTheme="minorHAnsi" w:eastAsiaTheme="minorHAnsi"/>
      <w:sz w:val="20"/>
      <w:szCs w:val="20"/>
    </w:rPr>
  </w:style>
  <w:style w:type="paragraph" w:styleId="21">
    <w:name w:val="HTML Preformatted"/>
    <w:basedOn w:val="1"/>
    <w:link w:val="3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2">
    <w:name w:val="Normal (Web)"/>
    <w:basedOn w:val="1"/>
    <w:qFormat/>
    <w:uiPriority w:val="0"/>
    <w:pPr>
      <w:spacing w:beforeAutospacing="1" w:afterAutospacing="1"/>
      <w:jc w:val="left"/>
    </w:pPr>
    <w:rPr>
      <w:kern w:val="0"/>
      <w:sz w:val="24"/>
    </w:rPr>
  </w:style>
  <w:style w:type="paragraph" w:styleId="23">
    <w:name w:val="annotation subject"/>
    <w:basedOn w:val="8"/>
    <w:next w:val="8"/>
    <w:link w:val="51"/>
    <w:semiHidden/>
    <w:unhideWhenUsed/>
    <w:qFormat/>
    <w:uiPriority w:val="99"/>
    <w:rPr>
      <w:b/>
      <w:bCs/>
    </w:rPr>
  </w:style>
  <w:style w:type="table" w:styleId="25">
    <w:name w:val="Table Grid"/>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qFormat/>
    <w:uiPriority w:val="99"/>
    <w:rPr>
      <w:color w:val="0000FF"/>
      <w:spacing w:val="0"/>
      <w:w w:val="100"/>
      <w:szCs w:val="21"/>
      <w:u w:val="single"/>
      <w:lang w:val="en-US" w:eastAsia="zh-CN"/>
    </w:rPr>
  </w:style>
  <w:style w:type="character" w:styleId="28">
    <w:name w:val="annotation reference"/>
    <w:basedOn w:val="26"/>
    <w:semiHidden/>
    <w:unhideWhenUsed/>
    <w:uiPriority w:val="99"/>
    <w:rPr>
      <w:sz w:val="21"/>
      <w:szCs w:val="21"/>
    </w:rPr>
  </w:style>
  <w:style w:type="character" w:customStyle="1" w:styleId="29">
    <w:name w:val="页眉 字符"/>
    <w:basedOn w:val="26"/>
    <w:link w:val="15"/>
    <w:qFormat/>
    <w:uiPriority w:val="0"/>
    <w:rPr>
      <w:rFonts w:ascii="Times New Roman" w:hAnsi="Times New Roman" w:eastAsia="宋体" w:cs="Times New Roman"/>
      <w:sz w:val="18"/>
      <w:szCs w:val="18"/>
    </w:rPr>
  </w:style>
  <w:style w:type="paragraph" w:customStyle="1" w:styleId="30">
    <w:name w:val="段"/>
    <w:link w:val="3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1">
    <w:name w:val="HTML 预设格式 字符"/>
    <w:basedOn w:val="26"/>
    <w:link w:val="21"/>
    <w:uiPriority w:val="99"/>
    <w:rPr>
      <w:rFonts w:ascii="宋体" w:hAnsi="宋体" w:eastAsia="宋体" w:cs="宋体"/>
      <w:kern w:val="0"/>
      <w:sz w:val="24"/>
      <w:szCs w:val="24"/>
    </w:rPr>
  </w:style>
  <w:style w:type="character" w:customStyle="1" w:styleId="32">
    <w:name w:val="段 Char"/>
    <w:link w:val="30"/>
    <w:qFormat/>
    <w:uiPriority w:val="0"/>
    <w:rPr>
      <w:rFonts w:ascii="宋体" w:hAnsi="Times New Roman" w:eastAsia="宋体" w:cs="Times New Roman"/>
      <w:kern w:val="0"/>
      <w:szCs w:val="20"/>
    </w:rPr>
  </w:style>
  <w:style w:type="paragraph" w:customStyle="1" w:styleId="33">
    <w:name w:val="样式1"/>
    <w:basedOn w:val="2"/>
    <w:qFormat/>
    <w:uiPriority w:val="0"/>
    <w:pPr>
      <w:spacing w:beforeLines="50" w:afterLines="50" w:line="288" w:lineRule="auto"/>
    </w:pPr>
    <w:rPr>
      <w:sz w:val="24"/>
    </w:rPr>
  </w:style>
  <w:style w:type="paragraph" w:customStyle="1" w:styleId="3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35">
    <w:name w:val="样式2"/>
    <w:basedOn w:val="3"/>
    <w:link w:val="42"/>
    <w:qFormat/>
    <w:uiPriority w:val="0"/>
    <w:pPr>
      <w:spacing w:beforeLines="50" w:afterLines="50" w:line="288" w:lineRule="auto"/>
    </w:pPr>
    <w:rPr>
      <w:rFonts w:eastAsia="宋体"/>
      <w:sz w:val="21"/>
    </w:rPr>
  </w:style>
  <w:style w:type="paragraph" w:customStyle="1" w:styleId="36">
    <w:name w:val="大标题"/>
    <w:basedOn w:val="1"/>
    <w:qFormat/>
    <w:uiPriority w:val="99"/>
    <w:pPr>
      <w:tabs>
        <w:tab w:val="left" w:pos="5220"/>
      </w:tabs>
      <w:adjustRightInd w:val="0"/>
      <w:snapToGrid w:val="0"/>
      <w:spacing w:beforeLines="200" w:afterLines="200"/>
      <w:jc w:val="center"/>
      <w:textAlignment w:val="center"/>
    </w:pPr>
    <w:rPr>
      <w:rFonts w:ascii="Arial" w:hAnsi="Arial" w:eastAsia="黑体"/>
      <w:sz w:val="32"/>
      <w:szCs w:val="20"/>
    </w:rPr>
  </w:style>
  <w:style w:type="paragraph" w:customStyle="1" w:styleId="37">
    <w:name w:val="Defaul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character" w:customStyle="1" w:styleId="38">
    <w:name w:val="标题 1 字符"/>
    <w:basedOn w:val="26"/>
    <w:link w:val="2"/>
    <w:qFormat/>
    <w:uiPriority w:val="9"/>
    <w:rPr>
      <w:rFonts w:ascii="Times New Roman" w:hAnsi="Times New Roman" w:eastAsia="宋体" w:cs="Times New Roman"/>
      <w:b/>
      <w:bCs/>
      <w:kern w:val="44"/>
      <w:sz w:val="44"/>
      <w:szCs w:val="44"/>
    </w:rPr>
  </w:style>
  <w:style w:type="character" w:customStyle="1" w:styleId="39">
    <w:name w:val="标题 2 字符"/>
    <w:basedOn w:val="26"/>
    <w:link w:val="3"/>
    <w:semiHidden/>
    <w:qFormat/>
    <w:uiPriority w:val="9"/>
    <w:rPr>
      <w:rFonts w:asciiTheme="majorHAnsi" w:hAnsiTheme="majorHAnsi" w:eastAsiaTheme="majorEastAsia" w:cstheme="majorBidi"/>
      <w:b/>
      <w:bCs/>
      <w:sz w:val="32"/>
      <w:szCs w:val="32"/>
    </w:rPr>
  </w:style>
  <w:style w:type="paragraph" w:customStyle="1" w:styleId="40">
    <w:name w:val="样式3"/>
    <w:basedOn w:val="4"/>
    <w:next w:val="1"/>
    <w:link w:val="43"/>
    <w:qFormat/>
    <w:uiPriority w:val="0"/>
    <w:pPr>
      <w:spacing w:before="100" w:beforeAutospacing="1" w:after="100" w:afterAutospacing="1" w:line="415" w:lineRule="auto"/>
    </w:pPr>
    <w:rPr>
      <w:rFonts w:cstheme="minorBidi"/>
      <w:sz w:val="23"/>
      <w:szCs w:val="23"/>
    </w:rPr>
  </w:style>
  <w:style w:type="paragraph" w:customStyle="1" w:styleId="41">
    <w:name w:val="样式4"/>
    <w:basedOn w:val="5"/>
    <w:link w:val="46"/>
    <w:qFormat/>
    <w:uiPriority w:val="0"/>
    <w:pPr>
      <w:keepNext w:val="0"/>
      <w:spacing w:before="100" w:beforeAutospacing="1" w:after="100" w:afterAutospacing="1" w:line="360" w:lineRule="auto"/>
    </w:pPr>
    <w:rPr>
      <w:rFonts w:eastAsia="宋体"/>
      <w:sz w:val="23"/>
    </w:rPr>
  </w:style>
  <w:style w:type="character" w:customStyle="1" w:styleId="42">
    <w:name w:val="样式2 字符"/>
    <w:basedOn w:val="39"/>
    <w:link w:val="35"/>
    <w:qFormat/>
    <w:uiPriority w:val="0"/>
    <w:rPr>
      <w:rFonts w:eastAsia="宋体" w:asciiTheme="majorHAnsi" w:hAnsiTheme="majorHAnsi" w:cstheme="majorBidi"/>
      <w:sz w:val="32"/>
      <w:szCs w:val="32"/>
    </w:rPr>
  </w:style>
  <w:style w:type="character" w:customStyle="1" w:styleId="43">
    <w:name w:val="样式3 字符"/>
    <w:basedOn w:val="42"/>
    <w:link w:val="40"/>
    <w:qFormat/>
    <w:uiPriority w:val="0"/>
    <w:rPr>
      <w:rFonts w:ascii="Times New Roman" w:hAnsi="Times New Roman" w:eastAsia="宋体" w:cstheme="majorBidi"/>
      <w:sz w:val="23"/>
      <w:szCs w:val="23"/>
    </w:rPr>
  </w:style>
  <w:style w:type="character" w:customStyle="1" w:styleId="44">
    <w:name w:val="标题 3 字符"/>
    <w:basedOn w:val="26"/>
    <w:link w:val="4"/>
    <w:semiHidden/>
    <w:qFormat/>
    <w:uiPriority w:val="9"/>
    <w:rPr>
      <w:rFonts w:ascii="Times New Roman" w:hAnsi="Times New Roman" w:eastAsia="宋体" w:cs="Times New Roman"/>
      <w:b/>
      <w:bCs/>
      <w:sz w:val="32"/>
      <w:szCs w:val="32"/>
    </w:rPr>
  </w:style>
  <w:style w:type="character" w:customStyle="1" w:styleId="45">
    <w:name w:val="标题 4 字符"/>
    <w:basedOn w:val="26"/>
    <w:link w:val="5"/>
    <w:semiHidden/>
    <w:qFormat/>
    <w:uiPriority w:val="9"/>
    <w:rPr>
      <w:rFonts w:asciiTheme="majorHAnsi" w:hAnsiTheme="majorHAnsi" w:eastAsiaTheme="majorEastAsia" w:cstheme="majorBidi"/>
      <w:b/>
      <w:bCs/>
      <w:sz w:val="28"/>
      <w:szCs w:val="28"/>
    </w:rPr>
  </w:style>
  <w:style w:type="character" w:customStyle="1" w:styleId="46">
    <w:name w:val="样式4 字符"/>
    <w:basedOn w:val="45"/>
    <w:link w:val="41"/>
    <w:qFormat/>
    <w:uiPriority w:val="0"/>
    <w:rPr>
      <w:rFonts w:eastAsia="宋体" w:asciiTheme="majorHAnsi" w:hAnsiTheme="majorHAnsi" w:cstheme="majorBidi"/>
      <w:sz w:val="23"/>
      <w:szCs w:val="28"/>
    </w:rPr>
  </w:style>
  <w:style w:type="character" w:customStyle="1" w:styleId="47">
    <w:name w:val="页脚 字符"/>
    <w:basedOn w:val="26"/>
    <w:link w:val="14"/>
    <w:qFormat/>
    <w:uiPriority w:val="99"/>
    <w:rPr>
      <w:rFonts w:ascii="Times New Roman" w:hAnsi="Times New Roman" w:eastAsia="宋体" w:cs="Times New Roman"/>
      <w:sz w:val="18"/>
      <w:szCs w:val="18"/>
    </w:rPr>
  </w:style>
  <w:style w:type="character" w:customStyle="1" w:styleId="48">
    <w:name w:val="批注文字 字符"/>
    <w:basedOn w:val="26"/>
    <w:link w:val="8"/>
    <w:semiHidden/>
    <w:qFormat/>
    <w:uiPriority w:val="99"/>
  </w:style>
  <w:style w:type="paragraph" w:customStyle="1" w:styleId="49">
    <w:name w:val="二级条标题"/>
    <w:basedOn w:val="1"/>
    <w:next w:val="1"/>
    <w:qFormat/>
    <w:uiPriority w:val="0"/>
    <w:pPr>
      <w:widowControl/>
      <w:spacing w:beforeLines="50"/>
      <w:jc w:val="left"/>
      <w:outlineLvl w:val="3"/>
    </w:pPr>
    <w:rPr>
      <w:rFonts w:ascii="黑体" w:eastAsia="黑体"/>
      <w:kern w:val="0"/>
      <w:szCs w:val="21"/>
    </w:rPr>
  </w:style>
  <w:style w:type="paragraph" w:styleId="50">
    <w:name w:val="List Paragraph"/>
    <w:basedOn w:val="1"/>
    <w:qFormat/>
    <w:uiPriority w:val="34"/>
    <w:pPr>
      <w:ind w:firstLine="420" w:firstLineChars="200"/>
    </w:pPr>
  </w:style>
  <w:style w:type="character" w:customStyle="1" w:styleId="51">
    <w:name w:val="批注主题 字符"/>
    <w:basedOn w:val="48"/>
    <w:link w:val="23"/>
    <w:semiHidden/>
    <w:uiPriority w:val="99"/>
    <w:rPr>
      <w:b/>
      <w:bCs/>
    </w:rPr>
  </w:style>
  <w:style w:type="paragraph" w:customStyle="1" w:styleId="52">
    <w:name w:val="标准表题"/>
    <w:basedOn w:val="1"/>
    <w:next w:val="30"/>
    <w:qFormat/>
    <w:uiPriority w:val="0"/>
    <w:pPr>
      <w:widowControl/>
      <w:jc w:val="center"/>
    </w:pPr>
    <w:rPr>
      <w:rFonts w:ascii="黑体" w:eastAsia="黑体"/>
      <w:kern w:val="21"/>
      <w:szCs w:val="20"/>
    </w:rPr>
  </w:style>
  <w:style w:type="character" w:customStyle="1" w:styleId="53">
    <w:name w:val="日期 字符"/>
    <w:basedOn w:val="26"/>
    <w:link w:val="12"/>
    <w:semiHidden/>
    <w:qFormat/>
    <w:uiPriority w:val="99"/>
  </w:style>
  <w:style w:type="paragraph" w:customStyle="1" w:styleId="54">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55">
    <w:name w:val="批注框文本 字符"/>
    <w:basedOn w:val="26"/>
    <w:link w:val="13"/>
    <w:semiHidden/>
    <w:uiPriority w:val="99"/>
    <w:rPr>
      <w:rFonts w:ascii="Times New Roman" w:hAnsi="Times New Roman" w:eastAsia="宋体" w:cs="Times New Roman"/>
      <w:sz w:val="18"/>
      <w:szCs w:val="18"/>
    </w:rPr>
  </w:style>
  <w:style w:type="character" w:customStyle="1" w:styleId="56">
    <w:name w:val="段 Char Char"/>
    <w:qFormat/>
    <w:locked/>
    <w:uiPriority w:val="99"/>
    <w:rPr>
      <w:rFonts w:ascii="宋体" w:hAnsi="Calibri" w:cs="宋体"/>
      <w:szCs w:val="21"/>
    </w:rPr>
  </w:style>
  <w:style w:type="character" w:customStyle="1" w:styleId="57">
    <w:name w:val="文档结构图 字符"/>
    <w:basedOn w:val="26"/>
    <w:link w:val="7"/>
    <w:semiHidden/>
    <w:uiPriority w:val="99"/>
    <w:rPr>
      <w:rFonts w:ascii="宋体" w:hAnsi="Times New Roman" w:eastAsia="宋体" w:cs="Times New Roman"/>
      <w:sz w:val="18"/>
      <w:szCs w:val="18"/>
    </w:rPr>
  </w:style>
  <w:style w:type="paragraph" w:customStyle="1" w:styleId="58">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59">
    <w:name w:val="font21"/>
    <w:basedOn w:val="26"/>
    <w:uiPriority w:val="0"/>
    <w:rPr>
      <w:rFonts w:ascii="Arial" w:hAnsi="Arial" w:cs="Arial"/>
      <w:color w:val="000000"/>
      <w:sz w:val="20"/>
      <w:szCs w:val="20"/>
      <w:u w:val="none"/>
    </w:rPr>
  </w:style>
  <w:style w:type="character" w:customStyle="1" w:styleId="60">
    <w:name w:val="font11"/>
    <w:basedOn w:val="26"/>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6AEEC-105D-456E-AA5F-0E1A4AC9F8DD}">
  <ds:schemaRefs/>
</ds:datastoreItem>
</file>

<file path=docProps/app.xml><?xml version="1.0" encoding="utf-8"?>
<Properties xmlns="http://schemas.openxmlformats.org/officeDocument/2006/extended-properties" xmlns:vt="http://schemas.openxmlformats.org/officeDocument/2006/docPropsVTypes">
  <Template>Normal.dotm</Template>
  <Pages>33</Pages>
  <Words>3297</Words>
  <Characters>18797</Characters>
  <Lines>156</Lines>
  <Paragraphs>44</Paragraphs>
  <TotalTime>11</TotalTime>
  <ScaleCrop>false</ScaleCrop>
  <LinksUpToDate>false</LinksUpToDate>
  <CharactersWithSpaces>22050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2021-02-20T06:14:00Z</dcterms:created>
  <dc:creator>Hu Zhiying</dc:creator>
  <cp:lastModifiedBy>ni刚哥</cp:lastModifiedBy>
  <dcterms:modified xsi:type="dcterms:W3CDTF">2023-09-18T00:54:09Z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F8E3CFF423364052936BBAB8DE6F42E3_12</vt:lpwstr>
  </property>
</Properties>
</file>